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rPr>
          <w:rFonts w:hint="eastAsia"/>
        </w:rPr>
      </w:pPr>
      <w:bookmarkStart w:id="0" w:name="_Toc421266940"/>
      <w:r>
        <w:rPr>
          <w:rFonts w:hint="eastAsia" w:ascii="宋体" w:hAnsi="宋体" w:eastAsia="宋体" w:cs="宋体"/>
          <w:szCs w:val="21"/>
          <w:lang w:val="en-US" w:eastAsia="zh-CN"/>
        </w:rPr>
        <w:t>工程项目管理及监理服务</w:t>
      </w:r>
      <w:r>
        <w:rPr>
          <w:rFonts w:hint="eastAsia"/>
        </w:rPr>
        <w:t>项目申报书</w:t>
      </w:r>
      <w:bookmarkEnd w:id="0"/>
    </w:p>
    <w:tbl>
      <w:tblPr>
        <w:tblStyle w:val="2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576"/>
        <w:gridCol w:w="3247"/>
        <w:gridCol w:w="1580"/>
        <w:gridCol w:w="2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gridSpan w:val="2"/>
            <w:noWrap w:val="0"/>
            <w:vAlign w:val="top"/>
          </w:tcPr>
          <w:p>
            <w:pPr>
              <w:rPr>
                <w:rFonts w:hint="eastAsia"/>
              </w:rPr>
            </w:pPr>
            <w:r>
              <w:rPr>
                <w:rFonts w:hint="eastAsia"/>
              </w:rPr>
              <w:t>项目名称</w:t>
            </w:r>
          </w:p>
        </w:tc>
        <w:tc>
          <w:tcPr>
            <w:tcW w:w="3247" w:type="dxa"/>
            <w:noWrap w:val="0"/>
            <w:vAlign w:val="top"/>
          </w:tcPr>
          <w:p>
            <w:pPr>
              <w:rPr>
                <w:rFonts w:hint="eastAsia"/>
              </w:rPr>
            </w:pPr>
            <w:r>
              <w:rPr>
                <w:rFonts w:hint="eastAsia" w:ascii="宋体" w:hAnsi="宋体" w:eastAsia="宋体" w:cs="宋体"/>
                <w:szCs w:val="21"/>
                <w:lang w:val="en-US" w:eastAsia="zh-CN"/>
              </w:rPr>
              <w:t>工程项目管理及监理服务</w:t>
            </w:r>
          </w:p>
        </w:tc>
        <w:tc>
          <w:tcPr>
            <w:tcW w:w="1580" w:type="dxa"/>
            <w:noWrap w:val="0"/>
            <w:vAlign w:val="top"/>
          </w:tcPr>
          <w:p>
            <w:pPr>
              <w:rPr>
                <w:rFonts w:hint="eastAsia"/>
              </w:rPr>
            </w:pPr>
            <w:r>
              <w:t>采购类型</w:t>
            </w:r>
          </w:p>
        </w:tc>
        <w:tc>
          <w:tcPr>
            <w:tcW w:w="2862" w:type="dxa"/>
            <w:noWrap w:val="0"/>
            <w:vAlign w:val="top"/>
          </w:tcPr>
          <w:p>
            <w:pPr>
              <w:rPr>
                <w:rFonts w:hint="eastAsia"/>
              </w:rPr>
            </w:pPr>
            <w:r>
              <w:rPr>
                <w:rFonts w:hint="eastAsia"/>
              </w:rPr>
              <w:t>自行采购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gridSpan w:val="2"/>
            <w:noWrap w:val="0"/>
            <w:vAlign w:val="top"/>
          </w:tcPr>
          <w:p>
            <w:pPr>
              <w:rPr>
                <w:rFonts w:hint="eastAsia"/>
              </w:rPr>
            </w:pPr>
            <w:r>
              <w:rPr>
                <w:rFonts w:hint="eastAsia"/>
              </w:rPr>
              <w:t>采购人名称</w:t>
            </w:r>
          </w:p>
        </w:tc>
        <w:tc>
          <w:tcPr>
            <w:tcW w:w="3247" w:type="dxa"/>
            <w:noWrap w:val="0"/>
            <w:vAlign w:val="top"/>
          </w:tcPr>
          <w:p>
            <w:pPr>
              <w:rPr>
                <w:rFonts w:hint="default" w:eastAsia="宋体"/>
                <w:lang w:val="en-US" w:eastAsia="zh-CN"/>
              </w:rPr>
            </w:pPr>
            <w:r>
              <w:rPr>
                <w:rFonts w:hint="eastAsia"/>
              </w:rPr>
              <w:t>深圳</w:t>
            </w:r>
            <w:r>
              <w:rPr>
                <w:rFonts w:hint="eastAsia"/>
                <w:lang w:val="en-US" w:eastAsia="zh-CN"/>
              </w:rPr>
              <w:t>大学城图书馆</w:t>
            </w:r>
          </w:p>
        </w:tc>
        <w:tc>
          <w:tcPr>
            <w:tcW w:w="1580" w:type="dxa"/>
            <w:noWrap w:val="0"/>
            <w:vAlign w:val="top"/>
          </w:tcPr>
          <w:p>
            <w:pPr>
              <w:rPr>
                <w:rFonts w:hint="eastAsia"/>
              </w:rPr>
            </w:pPr>
            <w:r>
              <w:t>采购方式</w:t>
            </w:r>
          </w:p>
        </w:tc>
        <w:tc>
          <w:tcPr>
            <w:tcW w:w="2862" w:type="dxa"/>
            <w:noWrap w:val="0"/>
            <w:vAlign w:val="top"/>
          </w:tcPr>
          <w:p>
            <w:pPr>
              <w:rPr>
                <w:rFonts w:hint="eastAsia"/>
              </w:rPr>
            </w:pPr>
            <w:r>
              <w:rPr>
                <w:rFonts w:hint="eastAsia" w:hAnsi="宋体"/>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gridSpan w:val="2"/>
            <w:noWrap w:val="0"/>
            <w:vAlign w:val="top"/>
          </w:tcPr>
          <w:p>
            <w:pPr>
              <w:rPr>
                <w:rFonts w:hint="eastAsia"/>
              </w:rPr>
            </w:pPr>
            <w:r>
              <w:rPr>
                <w:rFonts w:hint="eastAsia"/>
              </w:rPr>
              <w:t>财政预算限额（元）</w:t>
            </w:r>
          </w:p>
        </w:tc>
        <w:tc>
          <w:tcPr>
            <w:tcW w:w="3247" w:type="dxa"/>
            <w:noWrap w:val="0"/>
            <w:vAlign w:val="top"/>
          </w:tcPr>
          <w:p>
            <w:r>
              <w:rPr>
                <w:rFonts w:hint="eastAsia"/>
                <w:lang w:val="en-US" w:eastAsia="zh-CN"/>
              </w:rPr>
              <w:t>427</w:t>
            </w:r>
            <w:r>
              <w:t>00</w:t>
            </w:r>
            <w:r>
              <w:rPr>
                <w:rFonts w:hint="eastAsia"/>
              </w:rPr>
              <w:t>.00</w:t>
            </w:r>
          </w:p>
        </w:tc>
        <w:tc>
          <w:tcPr>
            <w:tcW w:w="1580" w:type="dxa"/>
            <w:noWrap w:val="0"/>
            <w:vAlign w:val="top"/>
          </w:tcPr>
          <w:p>
            <w:pPr>
              <w:rPr>
                <w:rFonts w:hint="eastAsia"/>
              </w:rPr>
            </w:pPr>
          </w:p>
        </w:tc>
        <w:tc>
          <w:tcPr>
            <w:tcW w:w="2862"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09" w:type="dxa"/>
            <w:gridSpan w:val="2"/>
            <w:noWrap w:val="0"/>
            <w:vAlign w:val="top"/>
          </w:tcPr>
          <w:p>
            <w:pPr>
              <w:rPr>
                <w:rFonts w:hint="eastAsia"/>
              </w:rPr>
            </w:pPr>
            <w:r>
              <w:rPr>
                <w:rFonts w:hint="eastAsia"/>
              </w:rPr>
              <w:t>项目背景</w:t>
            </w:r>
          </w:p>
        </w:tc>
        <w:tc>
          <w:tcPr>
            <w:tcW w:w="7689" w:type="dxa"/>
            <w:gridSpan w:val="3"/>
            <w:noWrap w:val="0"/>
            <w:vAlign w:val="top"/>
          </w:tcPr>
          <w:p>
            <w:pPr>
              <w:ind w:firstLine="420" w:firstLineChars="200"/>
              <w:rPr>
                <w:rFonts w:hint="eastAsia"/>
              </w:rPr>
            </w:pPr>
            <w:r>
              <w:rPr>
                <w:rFonts w:hint="eastAsia" w:ascii="宋体" w:hAnsi="宋体"/>
              </w:rPr>
              <w:t>本项目</w:t>
            </w:r>
            <w:r>
              <w:rPr>
                <w:rFonts w:hint="eastAsia" w:ascii="宋体" w:hAnsi="宋体"/>
                <w:lang w:val="en-US" w:eastAsia="zh-CN"/>
              </w:rPr>
              <w:t>内容</w:t>
            </w:r>
            <w:r>
              <w:rPr>
                <w:rFonts w:hint="eastAsia" w:ascii="宋体" w:hAnsi="宋体"/>
              </w:rPr>
              <w:t>包括但不限于</w:t>
            </w:r>
            <w:r>
              <w:rPr>
                <w:rFonts w:hint="eastAsia" w:ascii="宋体" w:hAnsi="宋体" w:eastAsia="宋体" w:cs="宋体"/>
                <w:szCs w:val="21"/>
                <w:lang w:eastAsia="zh-CN"/>
              </w:rPr>
              <w:t>图书馆二楼空间改造工程项目</w:t>
            </w:r>
            <w:r>
              <w:rPr>
                <w:rFonts w:hint="eastAsia" w:ascii="宋体" w:hAnsi="宋体"/>
              </w:rPr>
              <w:t>工程施工监理等项目全生命周期的咨询管理服务，以及质量、进度、安全、信息等管理与协调等工作。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33" w:type="dxa"/>
            <w:noWrap w:val="0"/>
            <w:vAlign w:val="center"/>
          </w:tcPr>
          <w:p>
            <w:pPr>
              <w:jc w:val="center"/>
              <w:rPr>
                <w:rFonts w:hint="eastAsia"/>
              </w:rPr>
            </w:pPr>
            <w:r>
              <w:rPr>
                <w:rFonts w:hint="eastAsia" w:ascii="宋体" w:hAnsi="宋体" w:cs="宋体"/>
                <w:kern w:val="0"/>
                <w:szCs w:val="21"/>
              </w:rPr>
              <w:t>投标人资质要求</w:t>
            </w:r>
          </w:p>
        </w:tc>
        <w:tc>
          <w:tcPr>
            <w:tcW w:w="9265" w:type="dxa"/>
            <w:gridSpan w:val="4"/>
            <w:noWrap w:val="0"/>
            <w:vAlign w:val="top"/>
          </w:tcPr>
          <w:p>
            <w:pPr>
              <w:rPr>
                <w:rFonts w:hint="eastAsia" w:ascii="宋体" w:hAnsi="宋体" w:cs="宋体"/>
                <w:b/>
                <w:color w:val="FF0000"/>
                <w:kern w:val="0"/>
                <w:szCs w:val="21"/>
              </w:rPr>
            </w:pPr>
            <w:r>
              <w:rPr>
                <w:rFonts w:hint="eastAsia" w:ascii="宋体" w:hAnsi="宋体" w:cs="宋体"/>
                <w:b/>
                <w:color w:val="FF0000"/>
                <w:kern w:val="0"/>
                <w:szCs w:val="21"/>
              </w:rPr>
              <w:t>注意：提供明确、具体的资格要求（设置的投标人资格要求必须提交有法律法规依据，且不具备倾向性）</w:t>
            </w:r>
          </w:p>
          <w:p>
            <w:pPr>
              <w:numPr>
                <w:ilvl w:val="0"/>
                <w:numId w:val="3"/>
              </w:numPr>
              <w:spacing w:line="460" w:lineRule="exact"/>
              <w:ind w:firstLine="420" w:firstLineChars="200"/>
              <w:rPr>
                <w:rFonts w:hint="eastAsia" w:ascii="宋体" w:hAnsi="宋体"/>
                <w:szCs w:val="21"/>
              </w:rPr>
            </w:pPr>
            <w:r>
              <w:rPr>
                <w:rFonts w:hint="eastAsia" w:ascii="宋体" w:hAnsi="宋体"/>
                <w:szCs w:val="21"/>
              </w:rPr>
              <w:t>投标人应同时具备以下资质条件：（</w:t>
            </w:r>
            <w:r>
              <w:rPr>
                <w:rFonts w:hint="eastAsia" w:ascii="宋体" w:hAnsi="宋体"/>
                <w:szCs w:val="21"/>
                <w:lang w:val="en-US" w:eastAsia="zh-CN"/>
              </w:rPr>
              <w:t>1</w:t>
            </w:r>
            <w:r>
              <w:rPr>
                <w:rFonts w:hint="eastAsia" w:ascii="宋体" w:hAnsi="宋体"/>
                <w:szCs w:val="21"/>
              </w:rPr>
              <w:t>）</w:t>
            </w:r>
            <w:r>
              <w:rPr>
                <w:rFonts w:ascii="宋体" w:hAnsi="宋体"/>
                <w:bCs/>
                <w:snapToGrid w:val="0"/>
                <w:szCs w:val="21"/>
              </w:rPr>
              <w:t>具有房屋建筑工程监理乙级或以上资质</w:t>
            </w:r>
            <w:r>
              <w:rPr>
                <w:rFonts w:hint="eastAsia" w:ascii="宋体" w:hAnsi="宋体"/>
                <w:szCs w:val="21"/>
              </w:rPr>
              <w:t xml:space="preserve"> </w:t>
            </w:r>
            <w:r>
              <w:rPr>
                <w:rFonts w:hint="eastAsia" w:ascii="宋体" w:hAnsi="宋体" w:cs="宋体"/>
                <w:kern w:val="0"/>
                <w:szCs w:val="21"/>
              </w:rPr>
              <w:t>；</w:t>
            </w:r>
            <w:r>
              <w:rPr>
                <w:rFonts w:hint="eastAsia" w:ascii="宋体" w:hAnsi="宋体"/>
                <w:szCs w:val="21"/>
              </w:rPr>
              <w:t>（</w:t>
            </w:r>
            <w:r>
              <w:rPr>
                <w:rFonts w:hint="eastAsia" w:ascii="宋体" w:hAnsi="宋体"/>
                <w:szCs w:val="21"/>
                <w:lang w:val="en-US" w:eastAsia="zh-CN"/>
              </w:rPr>
              <w:t>2</w:t>
            </w:r>
            <w:r>
              <w:rPr>
                <w:rFonts w:hint="eastAsia" w:ascii="宋体" w:hAnsi="宋体"/>
                <w:szCs w:val="21"/>
              </w:rPr>
              <w:t>）工程咨询单位应当通过全国投资项目在线审批监管平台备案，备案的工程咨询专业包含建筑工程，须截图证明。</w:t>
            </w:r>
          </w:p>
          <w:p>
            <w:pPr>
              <w:numPr>
                <w:ilvl w:val="0"/>
                <w:numId w:val="3"/>
              </w:numPr>
              <w:spacing w:line="460" w:lineRule="exact"/>
              <w:ind w:firstLine="420" w:firstLineChars="200"/>
              <w:rPr>
                <w:rFonts w:ascii="宋体" w:hAnsi="宋体"/>
                <w:szCs w:val="21"/>
              </w:rPr>
            </w:pPr>
            <w:r>
              <w:rPr>
                <w:rFonts w:hint="eastAsia" w:ascii="宋体" w:hAnsi="宋体"/>
                <w:szCs w:val="21"/>
              </w:rPr>
              <w:t>本</w:t>
            </w:r>
            <w:r>
              <w:rPr>
                <w:rFonts w:hint="eastAsia" w:ascii="宋体" w:hAnsi="宋体"/>
                <w:szCs w:val="21"/>
                <w:lang w:val="en-US" w:eastAsia="zh-CN"/>
              </w:rPr>
              <w:t>项目不</w:t>
            </w:r>
            <w:r>
              <w:rPr>
                <w:rFonts w:hint="eastAsia" w:ascii="宋体" w:hAnsi="宋体"/>
                <w:szCs w:val="21"/>
              </w:rPr>
              <w:t>接受联合体投标。</w:t>
            </w:r>
          </w:p>
          <w:p>
            <w:pPr>
              <w:spacing w:line="460" w:lineRule="exact"/>
              <w:rPr>
                <w:rFonts w:hint="eastAsia" w:ascii="宋体" w:hAnsi="宋体" w:cs="宋体"/>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33" w:type="dxa"/>
            <w:noWrap w:val="0"/>
            <w:vAlign w:val="top"/>
          </w:tcPr>
          <w:p>
            <w:pPr>
              <w:jc w:val="center"/>
              <w:rPr>
                <w:rFonts w:hint="eastAsia" w:ascii="宋体" w:hAnsi="宋体" w:cs="宋体"/>
                <w:kern w:val="0"/>
                <w:szCs w:val="21"/>
              </w:rPr>
            </w:pPr>
            <w:r>
              <w:rPr>
                <w:rFonts w:hint="eastAsia" w:ascii="宋体" w:hAnsi="宋体" w:cs="宋体"/>
                <w:kern w:val="0"/>
                <w:szCs w:val="21"/>
              </w:rPr>
              <w:t>货物清单</w:t>
            </w:r>
          </w:p>
        </w:tc>
        <w:tc>
          <w:tcPr>
            <w:tcW w:w="9265" w:type="dxa"/>
            <w:gridSpan w:val="4"/>
            <w:noWrap w:val="0"/>
            <w:vAlign w:val="top"/>
          </w:tcPr>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550"/>
              <w:gridCol w:w="1732"/>
              <w:gridCol w:w="834"/>
              <w:gridCol w:w="1117"/>
              <w:gridCol w:w="1143"/>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1" w:type="dxa"/>
                  <w:noWrap w:val="0"/>
                  <w:vAlign w:val="top"/>
                </w:tcPr>
                <w:p>
                  <w:pPr>
                    <w:jc w:val="center"/>
                    <w:rPr>
                      <w:rFonts w:hint="eastAsia"/>
                      <w:bCs/>
                      <w:szCs w:val="21"/>
                    </w:rPr>
                  </w:pPr>
                  <w:r>
                    <w:rPr>
                      <w:rFonts w:hint="eastAsia"/>
                      <w:bCs/>
                      <w:szCs w:val="21"/>
                    </w:rPr>
                    <w:t>序号</w:t>
                  </w:r>
                </w:p>
              </w:tc>
              <w:tc>
                <w:tcPr>
                  <w:tcW w:w="1550" w:type="dxa"/>
                  <w:noWrap w:val="0"/>
                  <w:vAlign w:val="top"/>
                </w:tcPr>
                <w:p>
                  <w:pPr>
                    <w:jc w:val="center"/>
                    <w:rPr>
                      <w:rFonts w:hint="eastAsia"/>
                      <w:bCs/>
                      <w:szCs w:val="21"/>
                    </w:rPr>
                  </w:pPr>
                  <w:r>
                    <w:rPr>
                      <w:rFonts w:hint="eastAsia"/>
                      <w:bCs/>
                      <w:szCs w:val="21"/>
                    </w:rPr>
                    <w:t>采购计划编号</w:t>
                  </w:r>
                </w:p>
              </w:tc>
              <w:tc>
                <w:tcPr>
                  <w:tcW w:w="1732" w:type="dxa"/>
                  <w:noWrap w:val="0"/>
                  <w:vAlign w:val="top"/>
                </w:tcPr>
                <w:p>
                  <w:pPr>
                    <w:jc w:val="center"/>
                    <w:rPr>
                      <w:rFonts w:hint="eastAsia"/>
                      <w:bCs/>
                      <w:szCs w:val="21"/>
                    </w:rPr>
                  </w:pPr>
                  <w:r>
                    <w:rPr>
                      <w:rFonts w:hint="eastAsia"/>
                      <w:bCs/>
                      <w:szCs w:val="21"/>
                    </w:rPr>
                    <w:t>需求内容</w:t>
                  </w:r>
                </w:p>
              </w:tc>
              <w:tc>
                <w:tcPr>
                  <w:tcW w:w="834" w:type="dxa"/>
                  <w:noWrap w:val="0"/>
                  <w:vAlign w:val="top"/>
                </w:tcPr>
                <w:p>
                  <w:pPr>
                    <w:jc w:val="center"/>
                    <w:rPr>
                      <w:rFonts w:hint="eastAsia"/>
                      <w:bCs/>
                      <w:szCs w:val="21"/>
                    </w:rPr>
                  </w:pPr>
                  <w:r>
                    <w:rPr>
                      <w:rFonts w:hint="eastAsia"/>
                      <w:bCs/>
                      <w:szCs w:val="21"/>
                    </w:rPr>
                    <w:t>数量</w:t>
                  </w:r>
                </w:p>
              </w:tc>
              <w:tc>
                <w:tcPr>
                  <w:tcW w:w="1117" w:type="dxa"/>
                  <w:noWrap w:val="0"/>
                  <w:vAlign w:val="top"/>
                </w:tcPr>
                <w:p>
                  <w:pPr>
                    <w:jc w:val="center"/>
                    <w:rPr>
                      <w:rFonts w:hint="eastAsia"/>
                      <w:bCs/>
                      <w:szCs w:val="21"/>
                    </w:rPr>
                  </w:pPr>
                  <w:r>
                    <w:rPr>
                      <w:rFonts w:hint="eastAsia"/>
                      <w:bCs/>
                      <w:szCs w:val="21"/>
                    </w:rPr>
                    <w:t>单位</w:t>
                  </w:r>
                </w:p>
              </w:tc>
              <w:tc>
                <w:tcPr>
                  <w:tcW w:w="1143" w:type="dxa"/>
                  <w:noWrap w:val="0"/>
                  <w:vAlign w:val="top"/>
                </w:tcPr>
                <w:p>
                  <w:pPr>
                    <w:jc w:val="center"/>
                    <w:rPr>
                      <w:rFonts w:hint="eastAsia"/>
                      <w:bCs/>
                      <w:szCs w:val="21"/>
                    </w:rPr>
                  </w:pPr>
                  <w:r>
                    <w:rPr>
                      <w:rFonts w:hint="eastAsia"/>
                      <w:bCs/>
                      <w:szCs w:val="21"/>
                    </w:rPr>
                    <w:t>备注</w:t>
                  </w:r>
                </w:p>
              </w:tc>
              <w:tc>
                <w:tcPr>
                  <w:tcW w:w="1117" w:type="dxa"/>
                  <w:noWrap w:val="0"/>
                  <w:vAlign w:val="top"/>
                </w:tcPr>
                <w:p>
                  <w:pPr>
                    <w:jc w:val="center"/>
                    <w:rPr>
                      <w:rFonts w:hint="eastAsia"/>
                      <w:bCs/>
                      <w:szCs w:val="21"/>
                    </w:rPr>
                  </w:pPr>
                  <w:r>
                    <w:rPr>
                      <w:rFonts w:hint="eastAsia"/>
                      <w:bCs/>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1" w:type="dxa"/>
                  <w:noWrap w:val="0"/>
                  <w:vAlign w:val="top"/>
                </w:tcPr>
                <w:p>
                  <w:pPr>
                    <w:jc w:val="center"/>
                    <w:rPr>
                      <w:rFonts w:hint="eastAsia"/>
                      <w:bCs/>
                      <w:szCs w:val="21"/>
                    </w:rPr>
                  </w:pPr>
                  <w:r>
                    <w:rPr>
                      <w:rFonts w:hint="eastAsia"/>
                      <w:bCs/>
                      <w:szCs w:val="21"/>
                    </w:rPr>
                    <w:t>1</w:t>
                  </w:r>
                </w:p>
              </w:tc>
              <w:tc>
                <w:tcPr>
                  <w:tcW w:w="1550" w:type="dxa"/>
                  <w:noWrap w:val="0"/>
                  <w:vAlign w:val="top"/>
                </w:tcPr>
                <w:p>
                  <w:pPr>
                    <w:jc w:val="center"/>
                    <w:rPr>
                      <w:rFonts w:hint="eastAsia"/>
                      <w:bCs/>
                      <w:szCs w:val="21"/>
                    </w:rPr>
                  </w:pPr>
                </w:p>
              </w:tc>
              <w:tc>
                <w:tcPr>
                  <w:tcW w:w="1732" w:type="dxa"/>
                  <w:noWrap w:val="0"/>
                  <w:vAlign w:val="top"/>
                </w:tcPr>
                <w:p>
                  <w:pPr>
                    <w:jc w:val="center"/>
                    <w:rPr>
                      <w:rFonts w:hint="eastAsia"/>
                      <w:bCs/>
                      <w:szCs w:val="21"/>
                    </w:rPr>
                  </w:pPr>
                  <w:r>
                    <w:rPr>
                      <w:rFonts w:hint="eastAsia" w:ascii="宋体" w:hAnsi="宋体" w:eastAsia="宋体" w:cs="宋体"/>
                      <w:szCs w:val="21"/>
                      <w:lang w:val="en-US" w:eastAsia="zh-CN"/>
                    </w:rPr>
                    <w:t>工程项目管理及监理服务</w:t>
                  </w:r>
                </w:p>
              </w:tc>
              <w:tc>
                <w:tcPr>
                  <w:tcW w:w="834" w:type="dxa"/>
                  <w:noWrap w:val="0"/>
                  <w:vAlign w:val="top"/>
                </w:tcPr>
                <w:p>
                  <w:pPr>
                    <w:rPr>
                      <w:rFonts w:hint="eastAsia"/>
                      <w:bCs/>
                      <w:szCs w:val="21"/>
                    </w:rPr>
                  </w:pPr>
                  <w:r>
                    <w:rPr>
                      <w:rFonts w:hint="eastAsia"/>
                      <w:bCs/>
                      <w:szCs w:val="21"/>
                    </w:rPr>
                    <w:t>1</w:t>
                  </w:r>
                </w:p>
              </w:tc>
              <w:tc>
                <w:tcPr>
                  <w:tcW w:w="1117" w:type="dxa"/>
                  <w:noWrap w:val="0"/>
                  <w:vAlign w:val="top"/>
                </w:tcPr>
                <w:p>
                  <w:pPr>
                    <w:jc w:val="center"/>
                    <w:rPr>
                      <w:rFonts w:hint="eastAsia"/>
                      <w:bCs/>
                      <w:szCs w:val="21"/>
                    </w:rPr>
                  </w:pPr>
                </w:p>
              </w:tc>
              <w:tc>
                <w:tcPr>
                  <w:tcW w:w="1143" w:type="dxa"/>
                  <w:noWrap w:val="0"/>
                  <w:vAlign w:val="top"/>
                </w:tcPr>
                <w:p>
                  <w:pPr>
                    <w:jc w:val="center"/>
                    <w:rPr>
                      <w:rFonts w:hint="eastAsia"/>
                      <w:bCs/>
                      <w:szCs w:val="21"/>
                    </w:rPr>
                  </w:pPr>
                </w:p>
              </w:tc>
              <w:tc>
                <w:tcPr>
                  <w:tcW w:w="1117" w:type="dxa"/>
                  <w:noWrap w:val="0"/>
                  <w:vAlign w:val="top"/>
                </w:tcPr>
                <w:p>
                  <w:pPr>
                    <w:jc w:val="center"/>
                    <w:rPr>
                      <w:bCs/>
                      <w:szCs w:val="21"/>
                    </w:rPr>
                  </w:pPr>
                  <w:r>
                    <w:rPr>
                      <w:rFonts w:hint="eastAsia"/>
                      <w:bCs/>
                      <w:szCs w:val="21"/>
                      <w:lang w:val="en-US" w:eastAsia="zh-CN"/>
                    </w:rPr>
                    <w:t>427</w:t>
                  </w:r>
                  <w:r>
                    <w:rPr>
                      <w:bCs/>
                      <w:szCs w:val="21"/>
                    </w:rPr>
                    <w:t>00.00</w:t>
                  </w:r>
                </w:p>
              </w:tc>
            </w:tr>
          </w:tbl>
          <w:p>
            <w:pPr>
              <w:jc w:val="center"/>
              <w:rPr>
                <w:rFonts w:hint="eastAsia"/>
                <w:bCs/>
                <w:szCs w:val="21"/>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9" w:hRule="atLeast"/>
        </w:trPr>
        <w:tc>
          <w:tcPr>
            <w:tcW w:w="433" w:type="dxa"/>
            <w:noWrap w:val="0"/>
            <w:vAlign w:val="top"/>
          </w:tcPr>
          <w:p>
            <w:pPr>
              <w:jc w:val="center"/>
              <w:rPr>
                <w:rFonts w:hint="eastAsia" w:ascii="宋体" w:hAnsi="宋体" w:cs="宋体"/>
                <w:kern w:val="0"/>
                <w:szCs w:val="21"/>
              </w:rPr>
            </w:pPr>
            <w:r>
              <w:rPr>
                <w:rFonts w:hint="eastAsia" w:ascii="宋体" w:hAnsi="宋体" w:cs="宋体"/>
                <w:kern w:val="0"/>
                <w:szCs w:val="21"/>
              </w:rPr>
              <w:t>具体技术要求</w:t>
            </w:r>
          </w:p>
        </w:tc>
        <w:tc>
          <w:tcPr>
            <w:tcW w:w="9265" w:type="dxa"/>
            <w:gridSpan w:val="4"/>
            <w:noWrap w:val="0"/>
            <w:vAlign w:val="top"/>
          </w:tcPr>
          <w:p>
            <w:pPr>
              <w:rPr>
                <w:rFonts w:hint="eastAsia"/>
              </w:rPr>
            </w:pPr>
            <w:r>
              <w:rPr>
                <w:rFonts w:hint="eastAsia"/>
              </w:rPr>
              <w:t>注意：提供服务总体要求、服务标的（如人员、车辆、检测对象、管理对象）数量情况、详细具体的服务需求内容及工作量情况（以能给供应商准确的报价依据，使不同供应商的项目报价不至于差距过大作为判断需求“详细具体”的标准）</w:t>
            </w:r>
          </w:p>
          <w:p>
            <w:pPr>
              <w:spacing w:line="460" w:lineRule="exact"/>
              <w:rPr>
                <w:rFonts w:hint="eastAsia"/>
              </w:rPr>
            </w:pPr>
            <w:r>
              <w:rPr>
                <w:rFonts w:hint="eastAsia"/>
              </w:rPr>
              <w:t>一、本项目全过程工程咨询服务内容包括（不限于）：项目全过程项目管理（包括但不限于前期策划及施工管理）、工程施工监理等项目全生命周期的咨询管理服务，以及投资、质量、进度、安全、信息等管理与协调等工作。</w:t>
            </w:r>
          </w:p>
          <w:p>
            <w:pPr>
              <w:rPr>
                <w:rFonts w:hint="eastAsia"/>
              </w:rPr>
            </w:pPr>
            <w:r>
              <w:rPr>
                <w:rFonts w:hint="eastAsia"/>
              </w:rPr>
              <w:t>二、具体服务需求：</w:t>
            </w:r>
          </w:p>
          <w:p>
            <w:pPr>
              <w:rPr>
                <w:rFonts w:hint="eastAsia"/>
              </w:rPr>
            </w:pPr>
            <w:r>
              <w:rPr>
                <w:rFonts w:hint="eastAsia"/>
              </w:rPr>
              <w:t>（一）全过程项目管理</w:t>
            </w:r>
          </w:p>
          <w:p>
            <w:pPr>
              <w:rPr>
                <w:rFonts w:hint="eastAsia"/>
              </w:rPr>
            </w:pPr>
            <w:r>
              <w:rPr>
                <w:rFonts w:hint="eastAsia"/>
                <w:lang w:val="en-US" w:eastAsia="zh-CN"/>
              </w:rPr>
              <w:t>1</w:t>
            </w:r>
            <w:r>
              <w:rPr>
                <w:rFonts w:hint="eastAsia"/>
              </w:rPr>
              <w:t>、施工准备阶段 ：协助办理有关施工进场报批手续；做好开工前准备工作，为工程的顺利开工创造有利条件；组建项目管理部，抽调有项目管理服务经验的技术骨干担任管理负责人，进驻施工现场，代表业主提供全过程的管理服务，对工程的总工期、总体质量、总造价进行全过程控制和管理；</w:t>
            </w:r>
            <w:r>
              <w:rPr>
                <w:rFonts w:hint="eastAsia"/>
                <w:lang w:val="en-US" w:eastAsia="zh-CN"/>
              </w:rPr>
              <w:t>2</w:t>
            </w:r>
            <w:r>
              <w:rPr>
                <w:rFonts w:hint="eastAsia"/>
              </w:rPr>
              <w:t>、工程施工阶段 ：主要工作包括但不限于：根据工程实施计划进行施工场地的规划，组织测量、放线、验线，组织施工单位进场施工；协调各关联方的关系，对施工单位的合同履约情况进行督促检查，对项目的安全、进度、质量、投资进行控制；协调学校同施工单位关系，组织施工单位进场施工；组织召开工程例会，建立相关的工作程序、制度，协调各方的关系。协助处理施工过程的变更；准备进行工程的验收及移交等工作。</w:t>
            </w:r>
          </w:p>
          <w:p>
            <w:pPr>
              <w:rPr>
                <w:rFonts w:hint="eastAsia"/>
              </w:rPr>
            </w:pPr>
            <w:r>
              <w:rPr>
                <w:rFonts w:hint="eastAsia"/>
                <w:lang w:val="en-US" w:eastAsia="zh-CN"/>
              </w:rPr>
              <w:t>3</w:t>
            </w:r>
            <w:r>
              <w:rPr>
                <w:rFonts w:hint="eastAsia"/>
              </w:rPr>
              <w:t>、 竣工及保修阶段，负责制定验收和移交（包括中间验收和移交）计划和竣（交）工验收计划，并提交业主审查、审批；协助业主组织验收和移交（包括中间验收和移交），并负责汇总验收、移交资料；在保修期内协助业主按质监机构要求督促管理承包人进行整改和重新组织验收；审批施工单位的工程结算，做好合同的竣工结算审核工作；负责组织审核工程竣工结算、协助业主竣工决算送审；工程竣工验收合格后，协助业主完善工程竣工档案，并移交至相关档案管理部门。</w:t>
            </w:r>
          </w:p>
          <w:p>
            <w:pPr>
              <w:rPr>
                <w:rFonts w:hint="eastAsia"/>
              </w:rPr>
            </w:pPr>
            <w:r>
              <w:rPr>
                <w:rFonts w:hint="eastAsia"/>
              </w:rPr>
              <w:t>（</w:t>
            </w:r>
            <w:r>
              <w:rPr>
                <w:rFonts w:hint="eastAsia"/>
                <w:lang w:val="en-US" w:eastAsia="zh-CN"/>
              </w:rPr>
              <w:t>二</w:t>
            </w:r>
            <w:r>
              <w:rPr>
                <w:rFonts w:hint="eastAsia"/>
              </w:rPr>
              <w:t>）施工过程监理</w:t>
            </w:r>
          </w:p>
          <w:p>
            <w:pPr>
              <w:ind w:firstLine="210" w:firstLineChars="100"/>
              <w:rPr>
                <w:rFonts w:hint="eastAsia"/>
              </w:rPr>
            </w:pPr>
            <w:r>
              <w:rPr>
                <w:rFonts w:hint="eastAsia"/>
              </w:rPr>
              <w:t>1、中标人须承诺在施工监理期间，根据投标监理机构人员配置情况派驻专业工程师常驻施工现场，按监理人职责对施工进行监督。</w:t>
            </w:r>
          </w:p>
          <w:p>
            <w:pPr>
              <w:ind w:firstLine="210" w:firstLineChars="100"/>
              <w:rPr>
                <w:rFonts w:hint="eastAsia"/>
              </w:rPr>
            </w:pPr>
            <w:r>
              <w:rPr>
                <w:rFonts w:hint="eastAsia"/>
              </w:rPr>
              <w:t>2、应对施工组织设计中的安全技术措施或专项施工方案进行审查，未进行审查的，中标人应承担《建设工程安全生产管理条例》第五十七条规定的法律责任。</w:t>
            </w:r>
          </w:p>
          <w:p>
            <w:pPr>
              <w:ind w:firstLine="210" w:firstLineChars="100"/>
              <w:rPr>
                <w:rFonts w:hint="eastAsia"/>
              </w:rPr>
            </w:pPr>
            <w:r>
              <w:rPr>
                <w:rFonts w:hint="eastAsia"/>
              </w:rPr>
              <w:t>3、在工程监理的过程中，有违背职业道德准则和行为规范，专业技术能力不强及工作敬业精神欠缺时，招标人有权对监理人员﹙包括总监﹚进行撤换。</w:t>
            </w:r>
          </w:p>
          <w:p>
            <w:pPr>
              <w:ind w:firstLine="210" w:firstLineChars="100"/>
              <w:rPr>
                <w:rFonts w:hint="eastAsia"/>
              </w:rPr>
            </w:pPr>
            <w:r>
              <w:rPr>
                <w:rFonts w:hint="eastAsia"/>
              </w:rPr>
              <w:t>4、施工组织设计中的安全技术措施或专项施工方案未经监理人审查签字认可，承包人擅自施工的，应及时下达工程暂停令，并将情况及时书面报告委托人。未及时制止并报告的，应承担《建设工程安全生产管理条例》第五十七条规定的法律责任。</w:t>
            </w:r>
          </w:p>
          <w:p>
            <w:pPr>
              <w:ind w:firstLine="210" w:firstLineChars="100"/>
              <w:contextualSpacing/>
              <w:rPr>
                <w:rFonts w:hint="eastAsia"/>
              </w:rPr>
            </w:pPr>
            <w:r>
              <w:rPr>
                <w:rFonts w:hint="eastAsia"/>
              </w:rPr>
              <w:t>5、在监理巡视检查过程中，发现存在安全隐患的，应按照有关规定及时下达书面指令要求承包人进行整改或停止施工。中标人没有及时下达书面指令要求承包人进行整改或停止施工的，应承担《建设工程安全生产管理条例》第五十七条规定的法律责任。</w:t>
            </w:r>
          </w:p>
          <w:p>
            <w:pPr>
              <w:ind w:firstLine="210" w:firstLineChars="100"/>
              <w:contextualSpacing/>
              <w:rPr>
                <w:rFonts w:hint="eastAsia"/>
              </w:rPr>
            </w:pPr>
            <w:r>
              <w:rPr>
                <w:rFonts w:hint="eastAsia"/>
              </w:rPr>
              <w:t>（</w:t>
            </w:r>
            <w:r>
              <w:rPr>
                <w:rFonts w:hint="eastAsia"/>
                <w:lang w:val="en-US" w:eastAsia="zh-CN"/>
              </w:rPr>
              <w:t>三</w:t>
            </w:r>
            <w:r>
              <w:rPr>
                <w:rFonts w:hint="eastAsia"/>
              </w:rPr>
              <w:t>）项目负责人资格要求</w:t>
            </w:r>
          </w:p>
          <w:p>
            <w:pPr>
              <w:ind w:firstLine="210" w:firstLineChars="100"/>
              <w:contextualSpacing/>
              <w:rPr>
                <w:rFonts w:hint="eastAsia"/>
              </w:rPr>
            </w:pPr>
            <w:r>
              <w:rPr>
                <w:rFonts w:hint="eastAsia"/>
              </w:rPr>
              <w:t>1、项目总负责人（若为联合体投标，由联合体牵头单位委派）须具有工程建设类注册执业资格且具有工程类或工程经济类中级及以上职称；</w:t>
            </w:r>
          </w:p>
          <w:p>
            <w:pPr>
              <w:ind w:firstLine="210" w:firstLineChars="100"/>
              <w:contextualSpacing/>
              <w:rPr>
                <w:rFonts w:hint="eastAsia"/>
              </w:rPr>
            </w:pPr>
            <w:r>
              <w:rPr>
                <w:rFonts w:hint="eastAsia"/>
              </w:rPr>
              <w:t>2、根据本项目需求，须配备项目设计负责人（若为联合体投标，由承担设计工作的单位委派）、项目总监理工程师（若为联合体投标，由承担监理工作的单位委派）、造价项目负责人（若为联合体投标，由承担造价咨询工作的单位委派）各1人。</w:t>
            </w:r>
          </w:p>
          <w:p>
            <w:pPr>
              <w:ind w:firstLine="210" w:firstLineChars="100"/>
              <w:contextualSpacing/>
              <w:rPr>
                <w:rFonts w:hint="eastAsia"/>
              </w:rPr>
            </w:pPr>
            <w:r>
              <w:rPr>
                <w:rFonts w:hint="eastAsia"/>
              </w:rPr>
              <w:t>3、项目总负责人、总监理工程师不得相互兼任。总监理工程师的任职行为须满足《深圳市规范项目经理和项目总监任职行为的若干规定》的相关规定。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1" w:hRule="atLeast"/>
        </w:trPr>
        <w:tc>
          <w:tcPr>
            <w:tcW w:w="433" w:type="dxa"/>
            <w:noWrap w:val="0"/>
            <w:vAlign w:val="top"/>
          </w:tcPr>
          <w:p>
            <w:pPr>
              <w:jc w:val="center"/>
              <w:rPr>
                <w:rFonts w:hint="eastAsia" w:ascii="宋体" w:hAnsi="宋体" w:cs="宋体"/>
                <w:kern w:val="0"/>
                <w:szCs w:val="21"/>
              </w:rPr>
            </w:pPr>
            <w:r>
              <w:rPr>
                <w:rFonts w:hint="eastAsia" w:ascii="宋体" w:hAnsi="宋体" w:cs="宋体"/>
                <w:kern w:val="0"/>
                <w:szCs w:val="21"/>
              </w:rPr>
              <w:t>商务需求</w:t>
            </w:r>
          </w:p>
        </w:tc>
        <w:tc>
          <w:tcPr>
            <w:tcW w:w="9265" w:type="dxa"/>
            <w:gridSpan w:val="4"/>
            <w:noWrap w:val="0"/>
            <w:vAlign w:val="top"/>
          </w:tcPr>
          <w:p>
            <w:pPr>
              <w:rPr>
                <w:rFonts w:hint="eastAsia"/>
              </w:rPr>
            </w:pPr>
            <w:r>
              <w:rPr>
                <w:rFonts w:hint="eastAsia"/>
              </w:rPr>
              <w:t>注意：提供项目服务期限（完成期限）、项目进度安排、付款方式、验收要求、培训要求、售后服务要求</w:t>
            </w:r>
          </w:p>
          <w:p>
            <w:pPr>
              <w:ind w:firstLine="422" w:firstLineChars="200"/>
              <w:rPr>
                <w:rFonts w:hint="eastAsia"/>
              </w:rPr>
            </w:pPr>
            <w:r>
              <w:rPr>
                <w:rFonts w:hint="eastAsia"/>
                <w:b/>
                <w:bCs/>
              </w:rPr>
              <w:t>1、全过程咨询服务期限：</w:t>
            </w:r>
            <w:r>
              <w:rPr>
                <w:rFonts w:hint="eastAsia"/>
              </w:rPr>
              <w:t>为招标人发出中标通知书之日起至项目保修期满为止（保修期为项目通过验收后24个月）。中标人必须按照合同约定履行全过程咨询服务任务，咨询服务费用以咨询单位完成合同规定的全过程咨询服务为依据，不因管理咨询服务时间的变化而改变。</w:t>
            </w:r>
          </w:p>
          <w:p>
            <w:pPr>
              <w:ind w:firstLine="422" w:firstLineChars="200"/>
              <w:rPr>
                <w:rFonts w:hint="eastAsia" w:ascii="宋体" w:hAnsi="宋体"/>
              </w:rPr>
            </w:pPr>
            <w:r>
              <w:rPr>
                <w:rFonts w:hint="eastAsia"/>
                <w:b/>
                <w:bCs/>
              </w:rPr>
              <w:t>2、全过程工程咨询服务费测算：经初步统计，拟进行全过程工程咨询的项目包括：</w:t>
            </w:r>
            <w:r>
              <w:rPr>
                <w:rFonts w:hint="eastAsia" w:ascii="宋体" w:hAnsi="宋体" w:eastAsia="宋体" w:cs="宋体"/>
                <w:szCs w:val="21"/>
                <w:lang w:eastAsia="zh-CN"/>
              </w:rPr>
              <w:t>图书馆二楼空间改造工程项目93</w:t>
            </w:r>
            <w:r>
              <w:rPr>
                <w:rFonts w:hint="eastAsia" w:ascii="宋体" w:hAnsi="宋体" w:eastAsia="宋体" w:cs="宋体"/>
                <w:szCs w:val="21"/>
                <w:lang w:val="en-US" w:eastAsia="zh-CN"/>
              </w:rPr>
              <w:t>万</w:t>
            </w:r>
            <w:r>
              <w:rPr>
                <w:rFonts w:hint="eastAsia" w:ascii="宋体" w:hAnsi="宋体" w:eastAsia="宋体" w:cs="宋体"/>
                <w:szCs w:val="21"/>
                <w:lang w:eastAsia="zh-CN"/>
              </w:rPr>
              <w:t>元</w:t>
            </w:r>
            <w:r>
              <w:rPr>
                <w:rFonts w:hint="eastAsia" w:ascii="宋体" w:hAnsi="宋体"/>
              </w:rPr>
              <w:t>。拟按以上项目预算投资进行全过程工程咨询服务费的测算（包括全过程项目管理、监理）。具体如下：</w:t>
            </w:r>
          </w:p>
          <w:p>
            <w:pPr>
              <w:ind w:firstLine="210" w:firstLineChars="100"/>
              <w:rPr>
                <w:rFonts w:ascii="宋体" w:hAnsi="宋体"/>
                <w:color w:val="000000"/>
                <w:sz w:val="24"/>
              </w:rPr>
            </w:pPr>
            <w:r>
              <w:rPr>
                <w:rFonts w:hint="eastAsia" w:ascii="宋体" w:hAnsi="宋体"/>
              </w:rPr>
              <w:t>（1）项目管理费：依据《基本建设财务管理规定》（财建基[2002]394号）计算，总投资</w:t>
            </w:r>
            <w:r>
              <w:rPr>
                <w:rFonts w:hint="eastAsia" w:ascii="宋体" w:hAnsi="宋体"/>
                <w:lang w:val="en-US" w:eastAsia="zh-CN"/>
              </w:rPr>
              <w:t>93</w:t>
            </w:r>
            <w:r>
              <w:rPr>
                <w:rFonts w:hint="eastAsia" w:ascii="宋体" w:hAnsi="宋体"/>
              </w:rPr>
              <w:t>万元测算,项目管理费计算如下：</w:t>
            </w:r>
            <w:r>
              <w:rPr>
                <w:rFonts w:ascii="宋体" w:hAnsi="宋体"/>
              </w:rPr>
              <w:t>项目管理费=计划总投资×</w:t>
            </w:r>
            <w:r>
              <w:rPr>
                <w:rFonts w:hint="eastAsia" w:ascii="宋体" w:hAnsi="宋体"/>
              </w:rPr>
              <w:t>1.5%</w:t>
            </w:r>
            <w:r>
              <w:rPr>
                <w:rFonts w:ascii="宋体" w:hAnsi="宋体"/>
              </w:rPr>
              <w:t>=</w:t>
            </w:r>
            <w:r>
              <w:rPr>
                <w:rFonts w:hint="eastAsia" w:ascii="宋体" w:hAnsi="宋体"/>
                <w:lang w:val="en-US" w:eastAsia="zh-CN"/>
              </w:rPr>
              <w:t>93</w:t>
            </w:r>
            <w:r>
              <w:rPr>
                <w:rFonts w:hint="eastAsia" w:ascii="宋体" w:hAnsi="宋体"/>
              </w:rPr>
              <w:t>万元</w:t>
            </w:r>
            <w:r>
              <w:rPr>
                <w:rFonts w:ascii="宋体" w:hAnsi="宋体"/>
              </w:rPr>
              <w:t>×</w:t>
            </w:r>
            <w:r>
              <w:rPr>
                <w:rFonts w:hint="eastAsia" w:ascii="宋体" w:hAnsi="宋体"/>
              </w:rPr>
              <w:t>1.5%=</w:t>
            </w:r>
            <w:r>
              <w:rPr>
                <w:rFonts w:hint="eastAsia" w:ascii="宋体" w:hAnsi="宋体"/>
                <w:lang w:val="en-US" w:eastAsia="zh-CN"/>
              </w:rPr>
              <w:t>1.39</w:t>
            </w:r>
            <w:r>
              <w:rPr>
                <w:rFonts w:ascii="宋体" w:hAnsi="宋体"/>
              </w:rPr>
              <w:t>万元</w:t>
            </w:r>
            <w:r>
              <w:rPr>
                <w:rFonts w:hint="eastAsia" w:ascii="宋体" w:hAnsi="宋体"/>
              </w:rPr>
              <w:t>；建安工程费在3000万以下按表中费率的1.2倍计算：</w:t>
            </w:r>
            <w:r>
              <w:rPr>
                <w:rFonts w:hint="eastAsia" w:ascii="宋体" w:hAnsi="宋体"/>
                <w:lang w:val="en-US" w:eastAsia="zh-CN"/>
              </w:rPr>
              <w:t>1.39</w:t>
            </w:r>
            <w:r>
              <w:rPr>
                <w:rFonts w:hint="eastAsia" w:ascii="宋体" w:hAnsi="宋体"/>
              </w:rPr>
              <w:t>万元</w:t>
            </w:r>
            <w:r>
              <w:rPr>
                <w:rFonts w:ascii="宋体" w:hAnsi="宋体"/>
              </w:rPr>
              <w:t>×</w:t>
            </w:r>
            <w:r>
              <w:rPr>
                <w:rFonts w:hint="eastAsia" w:ascii="宋体" w:hAnsi="宋体"/>
              </w:rPr>
              <w:t>1.2=</w:t>
            </w:r>
            <w:r>
              <w:rPr>
                <w:rFonts w:hint="eastAsia" w:ascii="宋体" w:hAnsi="宋体"/>
                <w:lang w:val="en-US" w:eastAsia="zh-CN"/>
              </w:rPr>
              <w:t>1.66</w:t>
            </w:r>
            <w:r>
              <w:rPr>
                <w:rFonts w:hint="eastAsia" w:ascii="宋体" w:hAnsi="宋体"/>
              </w:rPr>
              <w:t>万元。</w:t>
            </w:r>
          </w:p>
          <w:p>
            <w:pPr>
              <w:ind w:left="210"/>
              <w:rPr>
                <w:rFonts w:hint="eastAsia"/>
              </w:rPr>
            </w:pPr>
            <w:r>
              <w:rPr>
                <w:rFonts w:hint="eastAsia"/>
                <w:highlight w:val="lightGray"/>
              </w:rPr>
              <w:t>（</w:t>
            </w:r>
            <w:r>
              <w:rPr>
                <w:rFonts w:hint="eastAsia"/>
                <w:highlight w:val="lightGray"/>
                <w:lang w:val="en-US" w:eastAsia="zh-CN"/>
              </w:rPr>
              <w:t>2</w:t>
            </w:r>
            <w:r>
              <w:rPr>
                <w:rFonts w:hint="eastAsia"/>
                <w:highlight w:val="lightGray"/>
              </w:rPr>
              <w:t>）</w:t>
            </w:r>
            <w:r>
              <w:rPr>
                <w:rFonts w:hint="eastAsia"/>
                <w:b/>
                <w:bCs/>
              </w:rPr>
              <w:t>监理费：</w:t>
            </w:r>
            <w:r>
              <w:rPr>
                <w:rFonts w:hint="eastAsia"/>
              </w:rPr>
              <w:t>根据国家发展改革委、建设部联合发布的《建设工程监理与相关服务收费管理规定》</w:t>
            </w:r>
          </w:p>
          <w:p>
            <w:pPr>
              <w:ind w:left="210"/>
            </w:pPr>
            <w:r>
              <w:rPr>
                <w:rFonts w:hint="eastAsia"/>
              </w:rPr>
              <w:t>（[2007]670号）的规定，</w:t>
            </w:r>
            <w:r>
              <w:t>监理服务收费基准价=监理服务收费基价×专业调整系数× 工程复杂程度调整系数×高程调整系数</w:t>
            </w:r>
            <w:r>
              <w:rPr>
                <w:rFonts w:hint="eastAsia"/>
              </w:rPr>
              <w:t>,</w:t>
            </w:r>
            <w:r>
              <w:t>监理服务收费基价</w:t>
            </w:r>
            <w:r>
              <w:rPr>
                <w:rFonts w:hint="eastAsia"/>
              </w:rPr>
              <w:t>（低于500万）</w:t>
            </w:r>
            <w:r>
              <w:t>=</w:t>
            </w:r>
            <w:r>
              <w:rPr>
                <w:rFonts w:hint="eastAsia"/>
              </w:rPr>
              <w:t>（</w:t>
            </w:r>
            <w:r>
              <w:rPr>
                <w:rFonts w:hint="eastAsia"/>
                <w:lang w:val="en-US" w:eastAsia="zh-CN"/>
              </w:rPr>
              <w:t>93</w:t>
            </w:r>
            <w:r>
              <w:rPr>
                <w:rFonts w:hint="eastAsia"/>
              </w:rPr>
              <w:t>/500）</w:t>
            </w:r>
            <w:r>
              <w:t>×</w:t>
            </w:r>
            <w:r>
              <w:rPr>
                <w:rFonts w:hint="eastAsia"/>
              </w:rPr>
              <w:t>16.5=</w:t>
            </w:r>
            <w:r>
              <w:rPr>
                <w:rFonts w:hint="eastAsia"/>
                <w:lang w:val="en-US" w:eastAsia="zh-CN"/>
              </w:rPr>
              <w:t>3.069</w:t>
            </w:r>
            <w:r>
              <w:t>万元</w:t>
            </w:r>
            <w:r>
              <w:rPr>
                <w:rFonts w:hint="eastAsia"/>
              </w:rPr>
              <w:t>,</w:t>
            </w:r>
          </w:p>
          <w:p>
            <w:pPr>
              <w:ind w:left="210"/>
              <w:rPr>
                <w:rFonts w:hint="eastAsia"/>
              </w:rPr>
            </w:pPr>
            <w:r>
              <w:t>监理服务收费基准价=</w:t>
            </w:r>
            <w:r>
              <w:rPr>
                <w:rFonts w:hint="eastAsia"/>
                <w:lang w:val="en-US" w:eastAsia="zh-CN"/>
              </w:rPr>
              <w:t>3.069</w:t>
            </w:r>
            <w:r>
              <w:t>×1.0×0.85×1.0=</w:t>
            </w:r>
            <w:r>
              <w:rPr>
                <w:rFonts w:hint="eastAsia"/>
                <w:lang w:val="en-US" w:eastAsia="zh-CN"/>
              </w:rPr>
              <w:t>2.61</w:t>
            </w:r>
            <w:r>
              <w:t>万元</w:t>
            </w:r>
            <w:r>
              <w:rPr>
                <w:rFonts w:hint="eastAsia"/>
              </w:rPr>
              <w:t>。</w:t>
            </w:r>
          </w:p>
          <w:p>
            <w:pPr>
              <w:ind w:firstLine="422" w:firstLineChars="200"/>
              <w:jc w:val="left"/>
              <w:rPr>
                <w:rFonts w:hint="eastAsia"/>
                <w:b/>
                <w:bCs/>
              </w:rPr>
            </w:pPr>
            <w:r>
              <w:rPr>
                <w:rFonts w:hint="eastAsia"/>
                <w:b/>
                <w:bCs/>
              </w:rPr>
              <w:t>综上，本项目全过程工程咨询服务费测算为：</w:t>
            </w:r>
            <w:r>
              <w:rPr>
                <w:rFonts w:hint="eastAsia"/>
                <w:b/>
                <w:bCs/>
                <w:lang w:val="en-US" w:eastAsia="zh-CN"/>
              </w:rPr>
              <w:t>1.66</w:t>
            </w:r>
            <w:r>
              <w:rPr>
                <w:rFonts w:hint="eastAsia"/>
                <w:b/>
                <w:bCs/>
              </w:rPr>
              <w:t>+</w:t>
            </w:r>
            <w:r>
              <w:rPr>
                <w:rFonts w:hint="eastAsia"/>
                <w:b/>
                <w:bCs/>
                <w:lang w:val="en-US" w:eastAsia="zh-CN"/>
              </w:rPr>
              <w:t>2.61</w:t>
            </w:r>
            <w:r>
              <w:rPr>
                <w:rFonts w:hint="eastAsia"/>
                <w:b/>
                <w:bCs/>
              </w:rPr>
              <w:t>=</w:t>
            </w:r>
            <w:r>
              <w:rPr>
                <w:rFonts w:hint="eastAsia"/>
                <w:b/>
                <w:bCs/>
                <w:lang w:val="en-US" w:eastAsia="zh-CN"/>
              </w:rPr>
              <w:t>4.27</w:t>
            </w:r>
            <w:r>
              <w:rPr>
                <w:rFonts w:hint="eastAsia"/>
                <w:b/>
                <w:bCs/>
              </w:rPr>
              <w:t>万元，拟按</w:t>
            </w:r>
            <w:r>
              <w:rPr>
                <w:rFonts w:hint="eastAsia"/>
                <w:b/>
                <w:bCs/>
                <w:lang w:val="en-US" w:eastAsia="zh-CN"/>
              </w:rPr>
              <w:t>4.27</w:t>
            </w:r>
            <w:r>
              <w:rPr>
                <w:rFonts w:hint="eastAsia"/>
                <w:b/>
                <w:bCs/>
              </w:rPr>
              <w:t>万元为招标控制价进行限额招标。</w:t>
            </w:r>
          </w:p>
          <w:p>
            <w:pPr>
              <w:ind w:firstLine="422" w:firstLineChars="200"/>
              <w:jc w:val="left"/>
              <w:rPr>
                <w:rFonts w:hint="eastAsia"/>
              </w:rPr>
            </w:pPr>
            <w:r>
              <w:rPr>
                <w:rFonts w:hint="eastAsia"/>
                <w:b/>
                <w:bCs/>
              </w:rPr>
              <w:t>3、合同价：</w:t>
            </w:r>
            <w:r>
              <w:rPr>
                <w:rFonts w:hint="eastAsia"/>
              </w:rPr>
              <w:t>按中标人实际中标价为合同价。合同价已包括了为实施和完成本项目全过程工程咨询咨询工作所需的劳务费、技术服务费、检测仪器设备的使用和管理、保险、税费和利润等费用。</w:t>
            </w:r>
          </w:p>
          <w:p>
            <w:pPr>
              <w:ind w:firstLine="422" w:firstLineChars="200"/>
              <w:jc w:val="left"/>
            </w:pPr>
            <w:r>
              <w:rPr>
                <w:rFonts w:hint="eastAsia"/>
                <w:b/>
                <w:bCs/>
                <w:lang w:val="en-US" w:eastAsia="zh-CN"/>
              </w:rPr>
              <w:t>4</w:t>
            </w:r>
            <w:r>
              <w:rPr>
                <w:rFonts w:hint="eastAsia"/>
                <w:b/>
                <w:bCs/>
              </w:rPr>
              <w:t>、费用支付：</w:t>
            </w:r>
            <w:r>
              <w:rPr>
                <w:rFonts w:hint="eastAsia"/>
              </w:rPr>
              <w:t>按项目节点分阶段支付。</w:t>
            </w:r>
          </w:p>
          <w:p>
            <w:pPr>
              <w:jc w:val="left"/>
            </w:pPr>
            <w:r>
              <w:rPr>
                <w:rFonts w:hint="eastAsia"/>
              </w:rPr>
              <w:t>（</w:t>
            </w:r>
            <w:r>
              <w:rPr>
                <w:rFonts w:hint="eastAsia"/>
                <w:lang w:val="en-US" w:eastAsia="zh-CN"/>
              </w:rPr>
              <w:t>1</w:t>
            </w:r>
            <w:r>
              <w:rPr>
                <w:rFonts w:hint="eastAsia"/>
              </w:rPr>
              <w:t>）咨询合同签订后</w:t>
            </w:r>
            <w:r>
              <w:rPr>
                <w:rFonts w:hint="eastAsia"/>
                <w:lang w:eastAsia="zh-CN"/>
              </w:rPr>
              <w:t>，</w:t>
            </w:r>
            <w:r>
              <w:rPr>
                <w:rFonts w:hint="eastAsia"/>
              </w:rPr>
              <w:t>完成项目施工</w:t>
            </w:r>
            <w:r>
              <w:rPr>
                <w:rFonts w:hint="eastAsia"/>
                <w:lang w:val="en-US" w:eastAsia="zh-CN"/>
              </w:rPr>
              <w:t>管理</w:t>
            </w:r>
            <w:r>
              <w:rPr>
                <w:rFonts w:hint="eastAsia"/>
              </w:rPr>
              <w:t xml:space="preserve">、监理人员进场、签发施工开工令后，支付合同价的 </w:t>
            </w:r>
            <w:r>
              <w:rPr>
                <w:rFonts w:hint="eastAsia"/>
                <w:lang w:val="en-US" w:eastAsia="zh-CN"/>
              </w:rPr>
              <w:t>5</w:t>
            </w:r>
            <w:r>
              <w:rPr>
                <w:rFonts w:hint="eastAsia"/>
              </w:rPr>
              <w:t>0 %。</w:t>
            </w:r>
          </w:p>
          <w:p>
            <w:pPr>
              <w:jc w:val="left"/>
              <w:rPr>
                <w:rFonts w:hint="eastAsia"/>
              </w:rPr>
            </w:pPr>
            <w:r>
              <w:rPr>
                <w:rFonts w:hint="eastAsia"/>
              </w:rPr>
              <w:t>（</w:t>
            </w:r>
            <w:r>
              <w:rPr>
                <w:rFonts w:hint="eastAsia"/>
                <w:lang w:val="en-US" w:eastAsia="zh-CN"/>
              </w:rPr>
              <w:t>2</w:t>
            </w:r>
            <w:r>
              <w:rPr>
                <w:rFonts w:hint="eastAsia"/>
              </w:rPr>
              <w:t>）招标人拟需进行的全过程工程咨询服务项目全部竣工验收完或所在工程经办人签字确认后，招标人支付至咨询服务费结算价的100%。</w:t>
            </w:r>
          </w:p>
          <w:p>
            <w:pPr>
              <w:jc w:val="left"/>
            </w:pPr>
            <w:r>
              <w:rPr>
                <w:rFonts w:hint="eastAsia"/>
              </w:rPr>
              <w:t xml:space="preserve">   </w:t>
            </w:r>
            <w:bookmarkStart w:id="79" w:name="_GoBack"/>
            <w:bookmarkEnd w:id="79"/>
          </w:p>
          <w:p>
            <w:pPr>
              <w:spacing w:line="360" w:lineRule="auto"/>
              <w:ind w:firstLine="422" w:firstLineChars="200"/>
              <w:rPr>
                <w:rFonts w:ascii="宋体" w:hAnsi="宋体"/>
                <w:b/>
                <w:kern w:val="18"/>
                <w:szCs w:val="21"/>
              </w:rPr>
            </w:pPr>
            <w:r>
              <w:rPr>
                <w:rFonts w:hint="eastAsia" w:ascii="宋体" w:hAnsi="宋体"/>
                <w:b/>
                <w:kern w:val="18"/>
                <w:szCs w:val="21"/>
                <w:lang w:val="en-US" w:eastAsia="zh-CN"/>
              </w:rPr>
              <w:t>6</w:t>
            </w:r>
            <w:r>
              <w:rPr>
                <w:rFonts w:hint="eastAsia" w:ascii="宋体" w:hAnsi="宋体"/>
                <w:b/>
                <w:kern w:val="18"/>
                <w:szCs w:val="21"/>
              </w:rPr>
              <w:t>、评标信息：</w:t>
            </w:r>
            <w:bookmarkStart w:id="1" w:name="OLE_LINK3"/>
            <w:bookmarkStart w:id="2" w:name="OLE_LINK4"/>
          </w:p>
          <w:p>
            <w:pPr>
              <w:ind w:firstLine="420" w:firstLineChars="200"/>
            </w:pPr>
            <w:r>
              <w:rPr>
                <w:rFonts w:hint="eastAsia"/>
                <w:bCs/>
              </w:rPr>
              <w:t>评</w:t>
            </w:r>
            <w:r>
              <w:rPr>
                <w:bCs/>
              </w:rPr>
              <w:t>标方法：综合评分法</w:t>
            </w:r>
          </w:p>
          <w:p>
            <w:r>
              <w:rPr>
                <w:rFonts w:hint="eastAsia"/>
              </w:rPr>
              <w:t xml:space="preserve">    </w:t>
            </w:r>
            <w:r>
              <w:t>价格分计算方法：</w:t>
            </w:r>
          </w:p>
          <w:p>
            <w:pPr>
              <w:rPr>
                <w:rFonts w:hint="eastAsia"/>
              </w:rPr>
            </w:pPr>
            <w:r>
              <w:t xml:space="preserve">采用低价优先法计算，即满足招标文件要求且投标价格最低的投标报价为评标基准价，其价格分为满分。其他投标人的价格分统一按照下列公式计算： </w:t>
            </w:r>
            <w:r>
              <w:br w:type="textWrapping"/>
            </w:r>
            <w:r>
              <w:rPr>
                <w:rFonts w:hint="eastAsia"/>
              </w:rPr>
              <w:t xml:space="preserve">    </w:t>
            </w:r>
            <w:r>
              <w:t xml:space="preserve">投标报价得分=(评标基准价／投标报价)×100 </w:t>
            </w:r>
            <w:r>
              <w:br w:type="textWrapping"/>
            </w:r>
            <w:r>
              <w:rPr>
                <w:rFonts w:hint="eastAsia"/>
              </w:rPr>
              <w:t xml:space="preserve">    </w:t>
            </w:r>
            <w:r>
              <w:t xml:space="preserve">评标总得分＝F1×A1＋F2×A2＋……＋Fn×An </w:t>
            </w:r>
            <w:r>
              <w:br w:type="textWrapping"/>
            </w:r>
            <w:r>
              <w:rPr>
                <w:rFonts w:hint="eastAsia"/>
              </w:rPr>
              <w:t xml:space="preserve">    </w:t>
            </w:r>
            <w:r>
              <w:t xml:space="preserve">F1、F2……Fn分别为各项评审因素的得分； </w:t>
            </w:r>
            <w:r>
              <w:br w:type="textWrapping"/>
            </w:r>
            <w:r>
              <w:rPr>
                <w:rFonts w:hint="eastAsia"/>
              </w:rPr>
              <w:t xml:space="preserve">    </w:t>
            </w:r>
            <w:r>
              <w:t xml:space="preserve">A1、A2、……An 分别为各项评审因素所占的权重(A1＋A2＋……＋An＝1)。 </w:t>
            </w:r>
            <w:r>
              <w:br w:type="textWrapping"/>
            </w:r>
            <w:r>
              <w:rPr>
                <w:rFonts w:hint="eastAsia"/>
              </w:rPr>
              <w:t xml:space="preserve">    </w:t>
            </w:r>
            <w:r>
              <w:t>评标过程中，不得去掉报价中的最高报价和最低报价。</w:t>
            </w:r>
          </w:p>
          <w:tbl>
            <w:tblPr>
              <w:tblStyle w:val="20"/>
              <w:tblW w:w="9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567"/>
              <w:gridCol w:w="1125"/>
              <w:gridCol w:w="522"/>
              <w:gridCol w:w="269"/>
              <w:gridCol w:w="210"/>
              <w:gridCol w:w="5834"/>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Borders>
                    <w:top w:val="single" w:color="auto" w:sz="4" w:space="0"/>
                    <w:left w:val="single" w:color="auto" w:sz="4" w:space="0"/>
                    <w:bottom w:val="single" w:color="auto" w:sz="4" w:space="0"/>
                    <w:right w:val="single" w:color="auto" w:sz="4" w:space="0"/>
                  </w:tcBorders>
                  <w:noWrap w:val="0"/>
                  <w:vAlign w:val="top"/>
                </w:tcPr>
                <w:p>
                  <w:r>
                    <w:rPr>
                      <w:rFonts w:hint="eastAsia"/>
                    </w:rPr>
                    <w:t>序号</w:t>
                  </w:r>
                </w:p>
              </w:tc>
              <w:tc>
                <w:tcPr>
                  <w:tcW w:w="2693" w:type="dxa"/>
                  <w:gridSpan w:val="5"/>
                  <w:tcBorders>
                    <w:top w:val="single" w:color="auto" w:sz="4" w:space="0"/>
                    <w:left w:val="single" w:color="auto" w:sz="4" w:space="0"/>
                    <w:bottom w:val="single" w:color="auto" w:sz="4" w:space="0"/>
                    <w:right w:val="single" w:color="auto" w:sz="4" w:space="0"/>
                  </w:tcBorders>
                  <w:noWrap w:val="0"/>
                  <w:vAlign w:val="top"/>
                </w:tcPr>
                <w:p>
                  <w:r>
                    <w:rPr>
                      <w:rFonts w:hint="eastAsia"/>
                    </w:rPr>
                    <w:t>评分项</w:t>
                  </w:r>
                </w:p>
              </w:tc>
              <w:tc>
                <w:tcPr>
                  <w:tcW w:w="5841"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Borders>
                    <w:top w:val="single" w:color="auto" w:sz="4" w:space="0"/>
                    <w:left w:val="single" w:color="auto" w:sz="4" w:space="0"/>
                    <w:bottom w:val="single" w:color="auto" w:sz="4" w:space="0"/>
                    <w:right w:val="single" w:color="auto" w:sz="4" w:space="0"/>
                  </w:tcBorders>
                  <w:noWrap w:val="0"/>
                  <w:vAlign w:val="top"/>
                </w:tcPr>
                <w:p>
                  <w:r>
                    <w:t>1</w:t>
                  </w:r>
                </w:p>
              </w:tc>
              <w:tc>
                <w:tcPr>
                  <w:tcW w:w="2693" w:type="dxa"/>
                  <w:gridSpan w:val="5"/>
                  <w:tcBorders>
                    <w:top w:val="single" w:color="auto" w:sz="4" w:space="0"/>
                    <w:left w:val="single" w:color="auto" w:sz="4" w:space="0"/>
                    <w:bottom w:val="single" w:color="auto" w:sz="4" w:space="0"/>
                    <w:right w:val="single" w:color="auto" w:sz="4" w:space="0"/>
                  </w:tcBorders>
                  <w:noWrap w:val="0"/>
                  <w:vAlign w:val="top"/>
                </w:tcPr>
                <w:p>
                  <w:r>
                    <w:rPr>
                      <w:rFonts w:hint="eastAsia"/>
                    </w:rPr>
                    <w:t>价格</w:t>
                  </w:r>
                </w:p>
              </w:tc>
              <w:tc>
                <w:tcPr>
                  <w:tcW w:w="5841"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2</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Borders>
                    <w:top w:val="single" w:color="auto" w:sz="4" w:space="0"/>
                    <w:left w:val="single" w:color="auto" w:sz="4" w:space="0"/>
                    <w:bottom w:val="single" w:color="auto" w:sz="4" w:space="0"/>
                    <w:right w:val="single" w:color="auto" w:sz="4" w:space="0"/>
                  </w:tcBorders>
                  <w:noWrap w:val="0"/>
                  <w:vAlign w:val="top"/>
                </w:tcPr>
                <w:p>
                  <w:r>
                    <w:t>2</w:t>
                  </w:r>
                </w:p>
              </w:tc>
              <w:tc>
                <w:tcPr>
                  <w:tcW w:w="2693" w:type="dxa"/>
                  <w:gridSpan w:val="5"/>
                  <w:tcBorders>
                    <w:top w:val="single" w:color="auto" w:sz="4" w:space="0"/>
                    <w:left w:val="single" w:color="auto" w:sz="4" w:space="0"/>
                    <w:bottom w:val="single" w:color="auto" w:sz="4" w:space="0"/>
                    <w:right w:val="single" w:color="auto" w:sz="4" w:space="0"/>
                  </w:tcBorders>
                  <w:noWrap w:val="0"/>
                  <w:vAlign w:val="top"/>
                </w:tcPr>
                <w:p>
                  <w:r>
                    <w:rPr>
                      <w:rFonts w:hint="eastAsia"/>
                    </w:rPr>
                    <w:t>技术</w:t>
                  </w:r>
                </w:p>
              </w:tc>
              <w:tc>
                <w:tcPr>
                  <w:tcW w:w="5841"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29" w:type="dxa"/>
                  <w:vMerge w:val="restart"/>
                  <w:tcBorders>
                    <w:top w:val="single" w:color="auto" w:sz="4" w:space="0"/>
                    <w:left w:val="single" w:color="auto" w:sz="4" w:space="0"/>
                    <w:right w:val="single" w:color="auto" w:sz="4" w:space="0"/>
                  </w:tcBorders>
                  <w:noWrap w:val="0"/>
                  <w:vAlign w:val="top"/>
                </w:tcPr>
                <w:p/>
              </w:tc>
              <w:tc>
                <w:tcPr>
                  <w:tcW w:w="567" w:type="dxa"/>
                  <w:tcBorders>
                    <w:top w:val="single" w:color="auto" w:sz="4" w:space="0"/>
                    <w:left w:val="single" w:color="auto" w:sz="4" w:space="0"/>
                    <w:bottom w:val="single" w:color="auto" w:sz="4" w:space="0"/>
                    <w:right w:val="single" w:color="auto" w:sz="4" w:space="0"/>
                  </w:tcBorders>
                  <w:noWrap w:val="0"/>
                  <w:vAlign w:val="top"/>
                </w:tcPr>
                <w:p>
                  <w:r>
                    <w:rPr>
                      <w:rFonts w:hint="eastAsia"/>
                    </w:rPr>
                    <w:t>行号</w:t>
                  </w:r>
                </w:p>
              </w:tc>
              <w:tc>
                <w:tcPr>
                  <w:tcW w:w="1647"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内容</w:t>
                  </w:r>
                </w:p>
              </w:tc>
              <w:tc>
                <w:tcPr>
                  <w:tcW w:w="479"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权重</w:t>
                  </w:r>
                </w:p>
              </w:tc>
              <w:tc>
                <w:tcPr>
                  <w:tcW w:w="5841"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29" w:type="dxa"/>
                  <w:vMerge w:val="continue"/>
                  <w:tcBorders>
                    <w:left w:val="single" w:color="auto" w:sz="4" w:space="0"/>
                    <w:right w:val="single" w:color="auto" w:sz="4" w:space="0"/>
                  </w:tcBorders>
                  <w:noWrap w:val="0"/>
                  <w:vAlign w:val="center"/>
                </w:tcPr>
                <w:p/>
              </w:tc>
              <w:tc>
                <w:tcPr>
                  <w:tcW w:w="567" w:type="dxa"/>
                  <w:tcBorders>
                    <w:top w:val="single" w:color="auto" w:sz="4" w:space="0"/>
                    <w:left w:val="single" w:color="auto" w:sz="4" w:space="0"/>
                    <w:bottom w:val="single" w:color="auto" w:sz="4" w:space="0"/>
                    <w:right w:val="single" w:color="auto" w:sz="4" w:space="0"/>
                  </w:tcBorders>
                  <w:noWrap w:val="0"/>
                  <w:vAlign w:val="top"/>
                </w:tcPr>
                <w:p>
                  <w:r>
                    <w:t>1</w:t>
                  </w:r>
                </w:p>
              </w:tc>
              <w:tc>
                <w:tcPr>
                  <w:tcW w:w="1647"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ascii="宋体" w:hAnsi="宋体"/>
                      <w:color w:val="000000"/>
                      <w:szCs w:val="21"/>
                    </w:rPr>
                    <w:t>对本项目建设内容的把握及理解</w:t>
                  </w:r>
                </w:p>
              </w:tc>
              <w:tc>
                <w:tcPr>
                  <w:tcW w:w="479"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3</w:t>
                  </w:r>
                </w:p>
              </w:tc>
              <w:tc>
                <w:tcPr>
                  <w:tcW w:w="5841"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（一）评审内容：</w:t>
                  </w:r>
                </w:p>
                <w:p>
                  <w:pPr>
                    <w:rPr>
                      <w:rFonts w:hint="eastAsia"/>
                    </w:rPr>
                  </w:pPr>
                  <w:r>
                    <w:rPr>
                      <w:rFonts w:hint="eastAsia"/>
                    </w:rPr>
                    <w:t>对本项目建设内容的把握及理解，目标明确、方法合理可行、措施具体、针对性强。</w:t>
                  </w:r>
                </w:p>
                <w:p>
                  <w:pPr>
                    <w:rPr>
                      <w:rFonts w:hint="eastAsia"/>
                    </w:rPr>
                  </w:pPr>
                  <w:r>
                    <w:rPr>
                      <w:rFonts w:hint="eastAsia"/>
                    </w:rPr>
                    <w:t>（二）评分标准：</w:t>
                  </w:r>
                </w:p>
                <w:p>
                  <w:pPr>
                    <w:rPr>
                      <w:rFonts w:hint="eastAsia"/>
                    </w:rPr>
                  </w:pPr>
                  <w:r>
                    <w:rPr>
                      <w:rFonts w:hint="eastAsia"/>
                    </w:rPr>
                    <w:t>优评分标准：对本项目建设内容的把握及理解具体全面、针对性强、具有先进性，措施科学合理、可操作性强，得3分。</w:t>
                  </w:r>
                </w:p>
                <w:p>
                  <w:pPr>
                    <w:rPr>
                      <w:rFonts w:hint="eastAsia"/>
                    </w:rPr>
                  </w:pPr>
                  <w:r>
                    <w:rPr>
                      <w:rFonts w:hint="eastAsia"/>
                    </w:rPr>
                    <w:t>良评分标准：对本项目建设内容的把握及理解全面性、针对性、先进性较好，措施较为科学合理、可操作性有待提升，得2分。</w:t>
                  </w:r>
                </w:p>
                <w:p>
                  <w:pPr>
                    <w:rPr>
                      <w:rFonts w:hint="eastAsia"/>
                    </w:rPr>
                  </w:pPr>
                  <w:r>
                    <w:rPr>
                      <w:rFonts w:hint="eastAsia"/>
                    </w:rPr>
                    <w:t>中评分标准：对本项目建设内容的把握及理解全面性、针对性、先进性一般，措施科学性、可操作性一般，得1分。</w:t>
                  </w:r>
                </w:p>
                <w:p>
                  <w:pPr>
                    <w:rPr>
                      <w:rFonts w:hint="eastAsia"/>
                    </w:rPr>
                  </w:pPr>
                  <w:r>
                    <w:rPr>
                      <w:rFonts w:hint="eastAsia"/>
                    </w:rPr>
                    <w:t>差评分标准：对本项目建设内容的把握及理解不具体全面、针对性不强、先进性不强、无可操作性的，无措施的，不得分。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29" w:type="dxa"/>
                  <w:vMerge w:val="continue"/>
                  <w:tcBorders>
                    <w:left w:val="single" w:color="auto" w:sz="4" w:space="0"/>
                    <w:right w:val="single" w:color="auto" w:sz="4" w:space="0"/>
                  </w:tcBorders>
                  <w:noWrap w:val="0"/>
                  <w:vAlign w:val="center"/>
                </w:tcPr>
                <w:p/>
              </w:tc>
              <w:tc>
                <w:tcPr>
                  <w:tcW w:w="567" w:type="dxa"/>
                  <w:tcBorders>
                    <w:top w:val="single" w:color="auto" w:sz="4" w:space="0"/>
                    <w:left w:val="single" w:color="auto" w:sz="4" w:space="0"/>
                    <w:bottom w:val="single" w:color="auto" w:sz="4" w:space="0"/>
                    <w:right w:val="single" w:color="auto" w:sz="4" w:space="0"/>
                  </w:tcBorders>
                  <w:noWrap w:val="0"/>
                  <w:vAlign w:val="top"/>
                </w:tcPr>
                <w:p>
                  <w:r>
                    <w:t>2</w:t>
                  </w:r>
                </w:p>
              </w:tc>
              <w:tc>
                <w:tcPr>
                  <w:tcW w:w="1647"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ascii="宋体" w:hAnsi="宋体"/>
                      <w:color w:val="000000"/>
                      <w:szCs w:val="21"/>
                    </w:rPr>
                    <w:t>对项目质量、进度、投资控制的方法和措施</w:t>
                  </w:r>
                </w:p>
              </w:tc>
              <w:tc>
                <w:tcPr>
                  <w:tcW w:w="479"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9</w:t>
                  </w:r>
                </w:p>
              </w:tc>
              <w:tc>
                <w:tcPr>
                  <w:tcW w:w="5841"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（一）评审内容：</w:t>
                  </w:r>
                </w:p>
                <w:p>
                  <w:pPr>
                    <w:rPr>
                      <w:rFonts w:hint="eastAsia"/>
                    </w:rPr>
                  </w:pPr>
                  <w:r>
                    <w:rPr>
                      <w:rFonts w:hint="eastAsia"/>
                    </w:rPr>
                    <w:t>要求目标明确、方法合理可行、措施具体、针对性强。</w:t>
                  </w:r>
                </w:p>
                <w:p>
                  <w:pPr>
                    <w:rPr>
                      <w:rFonts w:hint="eastAsia"/>
                    </w:rPr>
                  </w:pPr>
                  <w:r>
                    <w:rPr>
                      <w:rFonts w:hint="eastAsia"/>
                    </w:rPr>
                    <w:t>（二）评分标准：</w:t>
                  </w:r>
                </w:p>
                <w:p>
                  <w:pPr>
                    <w:rPr>
                      <w:rFonts w:hint="eastAsia"/>
                    </w:rPr>
                  </w:pPr>
                  <w:r>
                    <w:rPr>
                      <w:rFonts w:hint="eastAsia"/>
                    </w:rPr>
                    <w:t>优评分标准：对项目质量、进度、投资控制的方法和措施具体全面、针对性强、具有先进性，措施科学合理、可操作性强，得9分。</w:t>
                  </w:r>
                </w:p>
                <w:p>
                  <w:pPr>
                    <w:rPr>
                      <w:rFonts w:hint="eastAsia"/>
                    </w:rPr>
                  </w:pPr>
                  <w:r>
                    <w:rPr>
                      <w:rFonts w:hint="eastAsia"/>
                    </w:rPr>
                    <w:t>良评分标准：对项目质量、进度、投资控制的方法和措施全面性、针对性、先进性较好，措施较为科学合理、可操作性有待提升，得6分。</w:t>
                  </w:r>
                </w:p>
                <w:p>
                  <w:pPr>
                    <w:rPr>
                      <w:rFonts w:hint="eastAsia"/>
                    </w:rPr>
                  </w:pPr>
                  <w:r>
                    <w:rPr>
                      <w:rFonts w:hint="eastAsia"/>
                    </w:rPr>
                    <w:t>中评分标准：对项目质量、进度、投资控制的方法和措施全面性、针对性、先进性一般，措施科学性、可操作性一般，得3分。</w:t>
                  </w:r>
                </w:p>
                <w:p>
                  <w:pPr>
                    <w:rPr>
                      <w:rFonts w:hint="eastAsia"/>
                    </w:rPr>
                  </w:pPr>
                  <w:r>
                    <w:rPr>
                      <w:rFonts w:hint="eastAsia"/>
                    </w:rPr>
                    <w:t>差评分标准：对项目质量、进度、投资控制的方法不具体全面、针对性不强、先进性不强、无可操作性的，无措施的，不得分。</w:t>
                  </w: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29" w:type="dxa"/>
                  <w:vMerge w:val="continue"/>
                  <w:tcBorders>
                    <w:left w:val="single" w:color="auto" w:sz="4" w:space="0"/>
                    <w:right w:val="single" w:color="auto" w:sz="4" w:space="0"/>
                  </w:tcBorders>
                  <w:noWrap w:val="0"/>
                  <w:vAlign w:val="center"/>
                </w:tcPr>
                <w:p/>
              </w:tc>
              <w:tc>
                <w:tcPr>
                  <w:tcW w:w="567" w:type="dxa"/>
                  <w:tcBorders>
                    <w:top w:val="single" w:color="auto" w:sz="4" w:space="0"/>
                    <w:left w:val="single" w:color="auto" w:sz="4" w:space="0"/>
                    <w:bottom w:val="single" w:color="auto" w:sz="4" w:space="0"/>
                    <w:right w:val="single" w:color="auto" w:sz="4" w:space="0"/>
                  </w:tcBorders>
                  <w:noWrap w:val="0"/>
                  <w:vAlign w:val="top"/>
                </w:tcPr>
                <w:p>
                  <w:r>
                    <w:t>3</w:t>
                  </w:r>
                </w:p>
              </w:tc>
              <w:tc>
                <w:tcPr>
                  <w:tcW w:w="1647"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ascii="宋体" w:hAnsi="宋体"/>
                      <w:color w:val="000000"/>
                      <w:szCs w:val="21"/>
                    </w:rPr>
                    <w:t>对项目变更控制的方法和措施</w:t>
                  </w:r>
                </w:p>
              </w:tc>
              <w:tc>
                <w:tcPr>
                  <w:tcW w:w="479"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3</w:t>
                  </w:r>
                </w:p>
              </w:tc>
              <w:tc>
                <w:tcPr>
                  <w:tcW w:w="5841"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（一）评审内容：</w:t>
                  </w:r>
                </w:p>
                <w:p>
                  <w:pPr>
                    <w:rPr>
                      <w:rFonts w:hint="eastAsia"/>
                    </w:rPr>
                  </w:pPr>
                  <w:r>
                    <w:rPr>
                      <w:rFonts w:hint="eastAsia"/>
                    </w:rPr>
                    <w:t>要求能够有效的对项目变更进行控制，针对性强、措施具体。</w:t>
                  </w:r>
                </w:p>
                <w:p>
                  <w:pPr>
                    <w:rPr>
                      <w:rFonts w:hint="eastAsia"/>
                    </w:rPr>
                  </w:pPr>
                  <w:r>
                    <w:rPr>
                      <w:rFonts w:hint="eastAsia"/>
                    </w:rPr>
                    <w:t>（二）评分标准：</w:t>
                  </w:r>
                </w:p>
                <w:p>
                  <w:pPr>
                    <w:rPr>
                      <w:rFonts w:hint="eastAsia"/>
                    </w:rPr>
                  </w:pPr>
                  <w:r>
                    <w:rPr>
                      <w:rFonts w:hint="eastAsia"/>
                    </w:rPr>
                    <w:t>优评分标准：对项目变更控制的方法和措施具体全面、针对性强、具有先进性，措施科学合理、可操作性强，得3分。</w:t>
                  </w:r>
                </w:p>
                <w:p>
                  <w:pPr>
                    <w:rPr>
                      <w:rFonts w:hint="eastAsia"/>
                    </w:rPr>
                  </w:pPr>
                  <w:r>
                    <w:rPr>
                      <w:rFonts w:hint="eastAsia"/>
                    </w:rPr>
                    <w:t>良评分标准：对项目变更控制的方法和措施全面性、针对性、先进性较好，措施较为科学合理、可操作性有待提升，得2分。</w:t>
                  </w:r>
                </w:p>
                <w:p>
                  <w:pPr>
                    <w:rPr>
                      <w:rFonts w:hint="eastAsia"/>
                    </w:rPr>
                  </w:pPr>
                  <w:r>
                    <w:rPr>
                      <w:rFonts w:hint="eastAsia"/>
                    </w:rPr>
                    <w:t>中评分标准：对项目变更控制的方法和措施全面性、针对性、先进性一般，措施科学性、可操作性一般，得1分。</w:t>
                  </w:r>
                </w:p>
                <w:p>
                  <w:pPr>
                    <w:rPr>
                      <w:rFonts w:hint="eastAsia"/>
                    </w:rPr>
                  </w:pPr>
                  <w:r>
                    <w:rPr>
                      <w:rFonts w:hint="eastAsia"/>
                    </w:rPr>
                    <w:t>差评分标准：对项目变更控制的方法不具体全面、针对性不强、先进性不强、无可操作性的，无措施的，不得分。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29" w:type="dxa"/>
                  <w:vMerge w:val="restart"/>
                  <w:tcBorders>
                    <w:left w:val="single" w:color="auto" w:sz="4" w:space="0"/>
                    <w:right w:val="single" w:color="auto" w:sz="4" w:space="0"/>
                  </w:tcBorders>
                  <w:noWrap w:val="0"/>
                  <w:vAlign w:val="center"/>
                </w:tcPr>
                <w:p/>
                <w:p/>
                <w:p/>
                <w:p/>
                <w:p/>
                <w:p/>
                <w:p/>
                <w:p/>
                <w:p/>
                <w:p/>
                <w:p/>
                <w:p/>
                <w:p/>
              </w:tc>
              <w:tc>
                <w:tcPr>
                  <w:tcW w:w="567"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4</w:t>
                  </w:r>
                </w:p>
              </w:tc>
              <w:tc>
                <w:tcPr>
                  <w:tcW w:w="1647"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olor w:val="000000"/>
                      <w:szCs w:val="21"/>
                    </w:rPr>
                  </w:pPr>
                  <w:r>
                    <w:rPr>
                      <w:rFonts w:hint="eastAsia" w:ascii="宋体" w:hAnsi="宋体"/>
                      <w:color w:val="000000"/>
                      <w:szCs w:val="21"/>
                    </w:rPr>
                    <w:t>对项目信息管理、合同管理、安全管理的方法和措施</w:t>
                  </w:r>
                </w:p>
              </w:tc>
              <w:tc>
                <w:tcPr>
                  <w:tcW w:w="479"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9</w:t>
                  </w:r>
                </w:p>
              </w:tc>
              <w:tc>
                <w:tcPr>
                  <w:tcW w:w="5841"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（一）评审内容：</w:t>
                  </w:r>
                </w:p>
                <w:p>
                  <w:pPr>
                    <w:rPr>
                      <w:rFonts w:hint="eastAsia"/>
                    </w:rPr>
                  </w:pPr>
                  <w:r>
                    <w:rPr>
                      <w:rFonts w:hint="eastAsia"/>
                    </w:rPr>
                    <w:t>要求信息管理、合同管理、安全管理的方法合理有效，措施具体、针对性强。</w:t>
                  </w:r>
                </w:p>
                <w:p>
                  <w:pPr>
                    <w:rPr>
                      <w:rFonts w:hint="eastAsia"/>
                    </w:rPr>
                  </w:pPr>
                  <w:r>
                    <w:rPr>
                      <w:rFonts w:hint="eastAsia"/>
                    </w:rPr>
                    <w:t>（二）评分标准：</w:t>
                  </w:r>
                </w:p>
                <w:p>
                  <w:pPr>
                    <w:rPr>
                      <w:rFonts w:hint="eastAsia"/>
                    </w:rPr>
                  </w:pPr>
                  <w:r>
                    <w:rPr>
                      <w:rFonts w:hint="eastAsia"/>
                    </w:rPr>
                    <w:t>优评分标准：对项目信息管理、合同管理、安全管理的方法和措施具体全面、针对性强、具有先进性，措施科学合理、可操作性强，得9分。</w:t>
                  </w:r>
                </w:p>
                <w:p>
                  <w:pPr>
                    <w:rPr>
                      <w:rFonts w:hint="eastAsia"/>
                    </w:rPr>
                  </w:pPr>
                  <w:r>
                    <w:rPr>
                      <w:rFonts w:hint="eastAsia"/>
                    </w:rPr>
                    <w:t>良评分标准：对项目信息管理、合同管理、安全管理的方法和措施全面性、针对性、先进性较好，措施较为科学合理、可操作性有待提升，得6分。</w:t>
                  </w:r>
                </w:p>
                <w:p>
                  <w:pPr>
                    <w:rPr>
                      <w:rFonts w:hint="eastAsia"/>
                    </w:rPr>
                  </w:pPr>
                  <w:r>
                    <w:rPr>
                      <w:rFonts w:hint="eastAsia"/>
                    </w:rPr>
                    <w:t>中评分标准：对项目信息管理、合同管理、安全管理的方法和措施全面性、针对性、先进性一般，措施科学性、可操作性一般，得3分。</w:t>
                  </w:r>
                </w:p>
                <w:p>
                  <w:pPr>
                    <w:rPr>
                      <w:rFonts w:hint="eastAsia"/>
                    </w:rPr>
                  </w:pPr>
                  <w:r>
                    <w:rPr>
                      <w:rFonts w:hint="eastAsia"/>
                    </w:rPr>
                    <w:t>差评分标准：对项目信息管理、合同管理、安全管理的方法不具体全面、针对性不强、先进性不强、无可操作性的，无措施的，不得分。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29" w:type="dxa"/>
                  <w:vMerge w:val="continue"/>
                  <w:tcBorders>
                    <w:left w:val="single" w:color="auto" w:sz="4" w:space="0"/>
                    <w:right w:val="single" w:color="auto" w:sz="4" w:space="0"/>
                  </w:tcBorders>
                  <w:noWrap w:val="0"/>
                  <w:vAlign w:val="center"/>
                </w:tcPr>
                <w:p/>
              </w:tc>
              <w:tc>
                <w:tcPr>
                  <w:tcW w:w="567" w:type="dxa"/>
                  <w:tcBorders>
                    <w:top w:val="single" w:color="auto" w:sz="4" w:space="0"/>
                    <w:left w:val="single" w:color="auto" w:sz="4" w:space="0"/>
                    <w:bottom w:val="single" w:color="auto" w:sz="4" w:space="0"/>
                    <w:right w:val="single" w:color="auto" w:sz="4" w:space="0"/>
                  </w:tcBorders>
                  <w:noWrap w:val="0"/>
                  <w:vAlign w:val="top"/>
                </w:tcPr>
                <w:p>
                  <w:r>
                    <w:rPr>
                      <w:rFonts w:hint="eastAsia"/>
                    </w:rPr>
                    <w:t>5</w:t>
                  </w:r>
                </w:p>
              </w:tc>
              <w:tc>
                <w:tcPr>
                  <w:tcW w:w="1647"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olor w:val="000000"/>
                      <w:szCs w:val="21"/>
                    </w:rPr>
                  </w:pPr>
                  <w:r>
                    <w:rPr>
                      <w:rFonts w:hint="eastAsia" w:ascii="宋体" w:hAnsi="宋体"/>
                      <w:color w:val="000000"/>
                      <w:szCs w:val="21"/>
                    </w:rPr>
                    <w:t>项目重点及难点分析、措施</w:t>
                  </w:r>
                </w:p>
              </w:tc>
              <w:tc>
                <w:tcPr>
                  <w:tcW w:w="479"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3</w:t>
                  </w:r>
                </w:p>
              </w:tc>
              <w:tc>
                <w:tcPr>
                  <w:tcW w:w="5841"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（一）评审内容：</w:t>
                  </w:r>
                </w:p>
                <w:p>
                  <w:pPr>
                    <w:rPr>
                      <w:rFonts w:hint="eastAsia"/>
                    </w:rPr>
                  </w:pPr>
                  <w:r>
                    <w:rPr>
                      <w:rFonts w:hint="eastAsia"/>
                    </w:rPr>
                    <w:t>考察投标人对本项目的重点及难点分析、措施。</w:t>
                  </w:r>
                </w:p>
                <w:p>
                  <w:pPr>
                    <w:rPr>
                      <w:rFonts w:hint="eastAsia"/>
                    </w:rPr>
                  </w:pPr>
                  <w:r>
                    <w:rPr>
                      <w:rFonts w:hint="eastAsia"/>
                    </w:rPr>
                    <w:t>（二）评分标准：</w:t>
                  </w:r>
                </w:p>
                <w:p>
                  <w:pPr>
                    <w:rPr>
                      <w:rFonts w:hint="eastAsia"/>
                    </w:rPr>
                  </w:pPr>
                  <w:r>
                    <w:rPr>
                      <w:rFonts w:hint="eastAsia"/>
                    </w:rPr>
                    <w:t>优评分标准：对本项目工作的重点、难点进行深入分析，能结合实际制订有针对性的措施的，得3分。</w:t>
                  </w:r>
                </w:p>
                <w:p>
                  <w:pPr>
                    <w:rPr>
                      <w:rFonts w:hint="eastAsia"/>
                    </w:rPr>
                  </w:pPr>
                  <w:r>
                    <w:rPr>
                      <w:rFonts w:hint="eastAsia"/>
                    </w:rPr>
                    <w:t>良评分标准：对本项目工作的重点、难点进行深入分析，能结合实际制订较有针对性的措施的，得2分。</w:t>
                  </w:r>
                </w:p>
                <w:p>
                  <w:pPr>
                    <w:rPr>
                      <w:rFonts w:hint="eastAsia"/>
                    </w:rPr>
                  </w:pPr>
                  <w:r>
                    <w:rPr>
                      <w:rFonts w:hint="eastAsia"/>
                    </w:rPr>
                    <w:t>中评分标准：对本项目工作的重点、难点进行一般性分析，制订一般措施的，得1分。</w:t>
                  </w:r>
                </w:p>
                <w:p>
                  <w:pPr>
                    <w:rPr>
                      <w:rFonts w:hint="eastAsia"/>
                    </w:rPr>
                  </w:pPr>
                  <w:r>
                    <w:rPr>
                      <w:rFonts w:hint="eastAsia"/>
                    </w:rPr>
                    <w:t>差评分标准：投标人未能理解本项目重点难点内容，未能提出应对措施，不得分。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29" w:type="dxa"/>
                  <w:vMerge w:val="continue"/>
                  <w:tcBorders>
                    <w:left w:val="single" w:color="auto" w:sz="4" w:space="0"/>
                    <w:right w:val="single" w:color="auto" w:sz="4" w:space="0"/>
                  </w:tcBorders>
                  <w:noWrap w:val="0"/>
                  <w:vAlign w:val="center"/>
                </w:tcPr>
                <w:p/>
              </w:tc>
              <w:tc>
                <w:tcPr>
                  <w:tcW w:w="567" w:type="dxa"/>
                  <w:tcBorders>
                    <w:top w:val="single" w:color="auto" w:sz="4" w:space="0"/>
                    <w:left w:val="single" w:color="auto" w:sz="4" w:space="0"/>
                    <w:bottom w:val="single" w:color="auto" w:sz="4" w:space="0"/>
                    <w:right w:val="single" w:color="auto" w:sz="4" w:space="0"/>
                  </w:tcBorders>
                  <w:noWrap w:val="0"/>
                  <w:vAlign w:val="top"/>
                </w:tcPr>
                <w:p>
                  <w:r>
                    <w:rPr>
                      <w:rFonts w:hint="eastAsia"/>
                    </w:rPr>
                    <w:t>6</w:t>
                  </w:r>
                </w:p>
              </w:tc>
              <w:tc>
                <w:tcPr>
                  <w:tcW w:w="1647"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olor w:val="000000"/>
                      <w:szCs w:val="21"/>
                    </w:rPr>
                  </w:pPr>
                  <w:r>
                    <w:rPr>
                      <w:rFonts w:hint="eastAsia" w:ascii="宋体" w:hAnsi="宋体"/>
                      <w:color w:val="000000"/>
                      <w:szCs w:val="21"/>
                    </w:rPr>
                    <w:t>合理化建议</w:t>
                  </w:r>
                </w:p>
              </w:tc>
              <w:tc>
                <w:tcPr>
                  <w:tcW w:w="479"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3</w:t>
                  </w:r>
                </w:p>
              </w:tc>
              <w:tc>
                <w:tcPr>
                  <w:tcW w:w="5841"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（一）评审内容：</w:t>
                  </w:r>
                </w:p>
                <w:p>
                  <w:pPr>
                    <w:rPr>
                      <w:rFonts w:hint="eastAsia"/>
                    </w:rPr>
                  </w:pPr>
                  <w:r>
                    <w:rPr>
                      <w:rFonts w:hint="eastAsia"/>
                    </w:rPr>
                    <w:t>考察投标人提供的工作流程图、工作准则。</w:t>
                  </w:r>
                </w:p>
                <w:p>
                  <w:pPr>
                    <w:rPr>
                      <w:rFonts w:hint="eastAsia"/>
                    </w:rPr>
                  </w:pPr>
                  <w:r>
                    <w:rPr>
                      <w:rFonts w:hint="eastAsia"/>
                    </w:rPr>
                    <w:t>（二）评分标准：</w:t>
                  </w:r>
                </w:p>
                <w:p>
                  <w:pPr>
                    <w:rPr>
                      <w:rFonts w:hint="eastAsia"/>
                    </w:rPr>
                  </w:pPr>
                  <w:r>
                    <w:rPr>
                      <w:rFonts w:hint="eastAsia"/>
                    </w:rPr>
                    <w:t>优评分标准：工作流程图及工作准则合理、可操作性强，得3分。</w:t>
                  </w:r>
                </w:p>
                <w:p>
                  <w:pPr>
                    <w:rPr>
                      <w:rFonts w:hint="eastAsia"/>
                    </w:rPr>
                  </w:pPr>
                  <w:r>
                    <w:rPr>
                      <w:rFonts w:hint="eastAsia"/>
                    </w:rPr>
                    <w:t>良评分标准：工作流程图及工作准则叫合理、可操作性较强，得2分。</w:t>
                  </w:r>
                </w:p>
                <w:p>
                  <w:pPr>
                    <w:rPr>
                      <w:rFonts w:hint="eastAsia"/>
                    </w:rPr>
                  </w:pPr>
                  <w:r>
                    <w:rPr>
                      <w:rFonts w:hint="eastAsia"/>
                    </w:rPr>
                    <w:t>中评分标准：工作流程图及工作准则合理一般、可操作性一般，得1分。</w:t>
                  </w:r>
                </w:p>
                <w:p>
                  <w:pPr>
                    <w:rPr>
                      <w:rFonts w:hint="eastAsia"/>
                    </w:rPr>
                  </w:pPr>
                  <w:r>
                    <w:rPr>
                      <w:rFonts w:hint="eastAsia"/>
                    </w:rPr>
                    <w:t>差评分标准：未提供工作流程图及工作准则，或工作流程图及工作准则不合理、无可操作性的，不得分。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Borders>
                    <w:top w:val="single" w:color="auto" w:sz="4" w:space="0"/>
                    <w:left w:val="single" w:color="auto" w:sz="4" w:space="0"/>
                    <w:bottom w:val="single" w:color="auto" w:sz="4" w:space="0"/>
                    <w:right w:val="single" w:color="auto" w:sz="4" w:space="0"/>
                  </w:tcBorders>
                  <w:noWrap w:val="0"/>
                  <w:vAlign w:val="top"/>
                </w:tcPr>
                <w:p>
                  <w:r>
                    <w:t>3</w:t>
                  </w:r>
                </w:p>
              </w:tc>
              <w:tc>
                <w:tcPr>
                  <w:tcW w:w="2693" w:type="dxa"/>
                  <w:gridSpan w:val="5"/>
                  <w:tcBorders>
                    <w:top w:val="single" w:color="auto" w:sz="4" w:space="0"/>
                    <w:left w:val="single" w:color="auto" w:sz="4" w:space="0"/>
                    <w:bottom w:val="single" w:color="auto" w:sz="4" w:space="0"/>
                    <w:right w:val="single" w:color="auto" w:sz="4" w:space="0"/>
                  </w:tcBorders>
                  <w:noWrap w:val="0"/>
                  <w:vAlign w:val="top"/>
                </w:tcPr>
                <w:p>
                  <w:r>
                    <w:rPr>
                      <w:rFonts w:hint="eastAsia"/>
                    </w:rPr>
                    <w:t>综合实力</w:t>
                  </w:r>
                </w:p>
              </w:tc>
              <w:tc>
                <w:tcPr>
                  <w:tcW w:w="5841"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29" w:type="dxa"/>
                  <w:vMerge w:val="restart"/>
                  <w:tcBorders>
                    <w:top w:val="single" w:color="auto" w:sz="4" w:space="0"/>
                    <w:left w:val="single" w:color="auto" w:sz="4" w:space="0"/>
                    <w:right w:val="single" w:color="auto" w:sz="4" w:space="0"/>
                  </w:tcBorders>
                  <w:noWrap w:val="0"/>
                  <w:vAlign w:val="top"/>
                </w:tcPr>
                <w:p/>
              </w:tc>
              <w:tc>
                <w:tcPr>
                  <w:tcW w:w="567" w:type="dxa"/>
                  <w:tcBorders>
                    <w:top w:val="single" w:color="auto" w:sz="4" w:space="0"/>
                    <w:left w:val="single" w:color="auto" w:sz="4" w:space="0"/>
                    <w:bottom w:val="single" w:color="auto" w:sz="4" w:space="0"/>
                    <w:right w:val="single" w:color="auto" w:sz="4" w:space="0"/>
                  </w:tcBorders>
                  <w:noWrap w:val="0"/>
                  <w:vAlign w:val="top"/>
                </w:tcPr>
                <w:p>
                  <w:r>
                    <w:rPr>
                      <w:rFonts w:hint="eastAsia"/>
                    </w:rPr>
                    <w:t>行号</w:t>
                  </w:r>
                </w:p>
              </w:tc>
              <w:tc>
                <w:tcPr>
                  <w:tcW w:w="1647"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内容</w:t>
                  </w:r>
                </w:p>
              </w:tc>
              <w:tc>
                <w:tcPr>
                  <w:tcW w:w="479"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权重</w:t>
                  </w:r>
                </w:p>
              </w:tc>
              <w:tc>
                <w:tcPr>
                  <w:tcW w:w="5841"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29" w:type="dxa"/>
                  <w:vMerge w:val="continue"/>
                  <w:tcBorders>
                    <w:left w:val="single" w:color="auto" w:sz="4" w:space="0"/>
                    <w:right w:val="single" w:color="auto" w:sz="4" w:space="0"/>
                  </w:tcBorders>
                  <w:noWrap w:val="0"/>
                  <w:vAlign w:val="center"/>
                </w:tcPr>
                <w:p/>
              </w:tc>
              <w:tc>
                <w:tcPr>
                  <w:tcW w:w="567" w:type="dxa"/>
                  <w:tcBorders>
                    <w:top w:val="single" w:color="auto" w:sz="4" w:space="0"/>
                    <w:left w:val="single" w:color="auto" w:sz="4" w:space="0"/>
                    <w:bottom w:val="single" w:color="auto" w:sz="4" w:space="0"/>
                    <w:right w:val="single" w:color="auto" w:sz="4" w:space="0"/>
                  </w:tcBorders>
                  <w:noWrap w:val="0"/>
                  <w:vAlign w:val="top"/>
                </w:tcPr>
                <w:p>
                  <w:r>
                    <w:t>1</w:t>
                  </w:r>
                </w:p>
              </w:tc>
              <w:tc>
                <w:tcPr>
                  <w:tcW w:w="1647" w:type="dxa"/>
                  <w:gridSpan w:val="2"/>
                  <w:tcBorders>
                    <w:top w:val="single" w:color="auto" w:sz="4" w:space="0"/>
                    <w:left w:val="single" w:color="auto" w:sz="4" w:space="0"/>
                    <w:bottom w:val="single" w:color="auto" w:sz="4" w:space="0"/>
                    <w:right w:val="single" w:color="auto" w:sz="4" w:space="0"/>
                  </w:tcBorders>
                  <w:noWrap w:val="0"/>
                  <w:vAlign w:val="top"/>
                </w:tcPr>
                <w:p>
                  <w:pPr>
                    <w:rPr>
                      <w:highlight w:val="yellow"/>
                    </w:rPr>
                  </w:pPr>
                  <w:r>
                    <w:rPr>
                      <w:rFonts w:hint="eastAsia"/>
                    </w:rPr>
                    <w:t>投标人通过相关认证情况</w:t>
                  </w:r>
                </w:p>
              </w:tc>
              <w:tc>
                <w:tcPr>
                  <w:tcW w:w="479"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6</w:t>
                  </w:r>
                </w:p>
              </w:tc>
              <w:tc>
                <w:tcPr>
                  <w:tcW w:w="5841" w:type="dxa"/>
                  <w:gridSpan w:val="2"/>
                  <w:tcBorders>
                    <w:top w:val="single" w:color="auto" w:sz="4" w:space="0"/>
                    <w:left w:val="single" w:color="auto" w:sz="4" w:space="0"/>
                    <w:bottom w:val="single" w:color="auto" w:sz="4" w:space="0"/>
                    <w:right w:val="single" w:color="auto" w:sz="4" w:space="0"/>
                  </w:tcBorders>
                  <w:noWrap w:val="0"/>
                  <w:vAlign w:val="top"/>
                </w:tcPr>
                <w:p>
                  <w:pPr>
                    <w:rPr>
                      <w:b/>
                    </w:rPr>
                  </w:pPr>
                  <w:r>
                    <w:rPr>
                      <w:rFonts w:hint="eastAsia"/>
                      <w:b/>
                    </w:rPr>
                    <w:t>评分标准</w:t>
                  </w:r>
                </w:p>
                <w:p>
                  <w:pPr>
                    <w:rPr>
                      <w:bCs/>
                    </w:rPr>
                  </w:pPr>
                  <w:r>
                    <w:rPr>
                      <w:rFonts w:hint="eastAsia"/>
                      <w:bCs/>
                    </w:rPr>
                    <w:t>1、投标人具有工程造价咨询乙级及以上资质证书的，得3分，没有的不得分。</w:t>
                  </w:r>
                </w:p>
                <w:p>
                  <w:pPr>
                    <w:rPr>
                      <w:bCs/>
                    </w:rPr>
                  </w:pPr>
                  <w:r>
                    <w:rPr>
                      <w:rFonts w:hint="eastAsia"/>
                      <w:bCs/>
                    </w:rPr>
                    <w:t>2、有效期内的ISO质量管理体系认证证书，得</w:t>
                  </w:r>
                  <w:r>
                    <w:rPr>
                      <w:bCs/>
                    </w:rPr>
                    <w:t>1</w:t>
                  </w:r>
                  <w:r>
                    <w:rPr>
                      <w:rFonts w:hint="eastAsia"/>
                      <w:bCs/>
                    </w:rPr>
                    <w:t>分，没有的不得此分。</w:t>
                  </w:r>
                </w:p>
                <w:p>
                  <w:pPr>
                    <w:rPr>
                      <w:bCs/>
                    </w:rPr>
                  </w:pPr>
                  <w:r>
                    <w:rPr>
                      <w:bCs/>
                    </w:rPr>
                    <w:t>3</w:t>
                  </w:r>
                  <w:r>
                    <w:rPr>
                      <w:rFonts w:hint="eastAsia"/>
                      <w:bCs/>
                    </w:rPr>
                    <w:t>、投标人具有有效期内环境管理体系认证证书，得</w:t>
                  </w:r>
                  <w:r>
                    <w:rPr>
                      <w:bCs/>
                    </w:rPr>
                    <w:t>1</w:t>
                  </w:r>
                  <w:r>
                    <w:rPr>
                      <w:rFonts w:hint="eastAsia"/>
                      <w:bCs/>
                    </w:rPr>
                    <w:t>分，没有的不得此分。</w:t>
                  </w:r>
                </w:p>
                <w:p>
                  <w:pPr>
                    <w:rPr>
                      <w:bCs/>
                    </w:rPr>
                  </w:pPr>
                  <w:r>
                    <w:rPr>
                      <w:bCs/>
                    </w:rPr>
                    <w:t>4</w:t>
                  </w:r>
                  <w:r>
                    <w:rPr>
                      <w:rFonts w:hint="eastAsia"/>
                      <w:bCs/>
                    </w:rPr>
                    <w:t>、投标人具有有效期内职业健康安全管理体系认证证书，得</w:t>
                  </w:r>
                  <w:r>
                    <w:rPr>
                      <w:bCs/>
                    </w:rPr>
                    <w:t>1</w:t>
                  </w:r>
                  <w:r>
                    <w:rPr>
                      <w:rFonts w:hint="eastAsia"/>
                      <w:bCs/>
                    </w:rPr>
                    <w:t>分，没有的不得此分。</w:t>
                  </w:r>
                </w:p>
                <w:p>
                  <w:pPr>
                    <w:rPr>
                      <w:b/>
                      <w:bCs/>
                    </w:rPr>
                  </w:pPr>
                  <w:r>
                    <w:rPr>
                      <w:rFonts w:hint="eastAsia"/>
                      <w:b/>
                      <w:bCs/>
                    </w:rPr>
                    <w:t>评分依据：</w:t>
                  </w:r>
                </w:p>
                <w:p>
                  <w:r>
                    <w:rPr>
                      <w:rFonts w:hint="eastAsia"/>
                    </w:rPr>
                    <w:t>1、要求提供有效的认证证书作为得分依据。</w:t>
                  </w:r>
                </w:p>
                <w:p>
                  <w:r>
                    <w:rPr>
                      <w:rFonts w:hint="eastAsia"/>
                    </w:rPr>
                    <w:t>2、以上资料均要求提供扫描件，原件备查。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29" w:type="dxa"/>
                  <w:vMerge w:val="continue"/>
                  <w:tcBorders>
                    <w:left w:val="single" w:color="auto" w:sz="4" w:space="0"/>
                    <w:right w:val="single" w:color="auto" w:sz="4" w:space="0"/>
                  </w:tcBorders>
                  <w:noWrap w:val="0"/>
                  <w:vAlign w:val="center"/>
                </w:tcPr>
                <w:p/>
              </w:tc>
              <w:tc>
                <w:tcPr>
                  <w:tcW w:w="567" w:type="dxa"/>
                  <w:tcBorders>
                    <w:top w:val="single" w:color="auto" w:sz="4" w:space="0"/>
                    <w:left w:val="single" w:color="auto" w:sz="4" w:space="0"/>
                    <w:bottom w:val="single" w:color="auto" w:sz="4" w:space="0"/>
                    <w:right w:val="single" w:color="auto" w:sz="4" w:space="0"/>
                  </w:tcBorders>
                  <w:noWrap w:val="0"/>
                  <w:vAlign w:val="top"/>
                </w:tcPr>
                <w:p>
                  <w:r>
                    <w:rPr>
                      <w:rFonts w:hint="eastAsia"/>
                    </w:rPr>
                    <w:t>2</w:t>
                  </w:r>
                </w:p>
              </w:tc>
              <w:tc>
                <w:tcPr>
                  <w:tcW w:w="1647" w:type="dxa"/>
                  <w:gridSpan w:val="2"/>
                  <w:tcBorders>
                    <w:top w:val="single" w:color="auto" w:sz="4" w:space="0"/>
                    <w:left w:val="single" w:color="auto" w:sz="4" w:space="0"/>
                    <w:bottom w:val="single" w:color="auto" w:sz="4" w:space="0"/>
                    <w:right w:val="single" w:color="auto" w:sz="4" w:space="0"/>
                  </w:tcBorders>
                  <w:noWrap w:val="0"/>
                  <w:vAlign w:val="top"/>
                </w:tcPr>
                <w:p>
                  <w:pPr>
                    <w:rPr>
                      <w:highlight w:val="yellow"/>
                    </w:rPr>
                  </w:pPr>
                  <w:r>
                    <w:rPr>
                      <w:rFonts w:hint="eastAsia"/>
                    </w:rPr>
                    <w:t>投标人同类业绩情况</w:t>
                  </w:r>
                </w:p>
              </w:tc>
              <w:tc>
                <w:tcPr>
                  <w:tcW w:w="479"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9</w:t>
                  </w:r>
                </w:p>
              </w:tc>
              <w:tc>
                <w:tcPr>
                  <w:tcW w:w="5841" w:type="dxa"/>
                  <w:gridSpan w:val="2"/>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bCs/>
                      <w:szCs w:val="21"/>
                    </w:rPr>
                  </w:pPr>
                  <w:r>
                    <w:rPr>
                      <w:rFonts w:hint="eastAsia" w:ascii="宋体" w:hAnsi="宋体" w:cs="宋体"/>
                      <w:b/>
                      <w:bCs/>
                      <w:szCs w:val="21"/>
                    </w:rPr>
                    <w:t>评分标准</w:t>
                  </w:r>
                </w:p>
                <w:p>
                  <w:pPr>
                    <w:rPr>
                      <w:rFonts w:hint="eastAsia" w:ascii="宋体" w:hAnsi="宋体" w:cs="宋体"/>
                      <w:szCs w:val="21"/>
                    </w:rPr>
                  </w:pPr>
                  <w:r>
                    <w:rPr>
                      <w:rFonts w:hint="eastAsia" w:ascii="宋体" w:hAnsi="宋体" w:cs="宋体"/>
                      <w:szCs w:val="21"/>
                    </w:rPr>
                    <w:t>近五年(2015年1月1日至招标公告发布之日)：</w:t>
                  </w:r>
                </w:p>
                <w:p>
                  <w:pPr>
                    <w:numPr>
                      <w:ilvl w:val="0"/>
                      <w:numId w:val="4"/>
                    </w:numPr>
                    <w:rPr>
                      <w:rFonts w:hint="eastAsia" w:ascii="宋体" w:hAnsi="宋体" w:cs="宋体"/>
                      <w:szCs w:val="21"/>
                    </w:rPr>
                  </w:pPr>
                  <w:r>
                    <w:rPr>
                      <w:rFonts w:hint="eastAsia" w:ascii="宋体" w:hAnsi="宋体" w:cs="宋体"/>
                      <w:szCs w:val="21"/>
                    </w:rPr>
                    <w:t>承接过的项目规划咨询、项目管理、技术咨询业绩，每提供一项得1分。本项最高得分3分。</w:t>
                  </w:r>
                </w:p>
                <w:p>
                  <w:pPr>
                    <w:numPr>
                      <w:ilvl w:val="0"/>
                      <w:numId w:val="4"/>
                    </w:numPr>
                    <w:rPr>
                      <w:rFonts w:hint="eastAsia" w:ascii="宋体" w:hAnsi="宋体" w:cs="宋体"/>
                      <w:szCs w:val="21"/>
                    </w:rPr>
                  </w:pPr>
                  <w:r>
                    <w:rPr>
                      <w:rFonts w:hint="eastAsia"/>
                      <w:bCs/>
                    </w:rPr>
                    <w:t>投标人具备类似工程</w:t>
                  </w:r>
                  <w:r>
                    <w:rPr>
                      <w:rFonts w:hint="eastAsia"/>
                    </w:rPr>
                    <w:t>监理</w:t>
                  </w:r>
                  <w:r>
                    <w:rPr>
                      <w:rFonts w:hint="eastAsia"/>
                      <w:bCs/>
                    </w:rPr>
                    <w:t>规模及以上经验的，每提供1个得1分。</w:t>
                  </w:r>
                  <w:r>
                    <w:rPr>
                      <w:rFonts w:hint="eastAsia" w:ascii="宋体" w:hAnsi="宋体" w:cs="宋体"/>
                      <w:szCs w:val="21"/>
                    </w:rPr>
                    <w:t>本项最高得分3分。</w:t>
                  </w:r>
                </w:p>
                <w:p>
                  <w:pPr>
                    <w:numPr>
                      <w:ilvl w:val="0"/>
                      <w:numId w:val="4"/>
                    </w:numPr>
                  </w:pPr>
                  <w:r>
                    <w:rPr>
                      <w:rFonts w:hint="eastAsia"/>
                      <w:bCs/>
                    </w:rPr>
                    <w:t>投标人具备类似工程</w:t>
                  </w:r>
                  <w:r>
                    <w:rPr>
                      <w:rFonts w:hint="eastAsia"/>
                    </w:rPr>
                    <w:t>设计</w:t>
                  </w:r>
                  <w:r>
                    <w:rPr>
                      <w:rFonts w:hint="eastAsia"/>
                      <w:bCs/>
                    </w:rPr>
                    <w:t>规模及以上经验的，每提供1个得1分。</w:t>
                  </w:r>
                  <w:r>
                    <w:rPr>
                      <w:rFonts w:hint="eastAsia" w:ascii="宋体" w:hAnsi="宋体" w:cs="宋体"/>
                      <w:szCs w:val="21"/>
                    </w:rPr>
                    <w:t>本项最高得分3分。</w:t>
                  </w:r>
                </w:p>
                <w:p>
                  <w:pPr>
                    <w:rPr>
                      <w:rFonts w:hint="eastAsia" w:ascii="宋体" w:hAnsi="宋体" w:cs="宋体"/>
                      <w:b/>
                      <w:bCs/>
                      <w:szCs w:val="21"/>
                    </w:rPr>
                  </w:pPr>
                  <w:r>
                    <w:rPr>
                      <w:rFonts w:hint="eastAsia" w:ascii="宋体" w:hAnsi="宋体" w:cs="宋体"/>
                      <w:b/>
                      <w:bCs/>
                      <w:szCs w:val="21"/>
                    </w:rPr>
                    <w:t>评分依据：</w:t>
                  </w:r>
                </w:p>
                <w:p>
                  <w:r>
                    <w:rPr>
                      <w:rFonts w:hint="eastAsia" w:ascii="宋体" w:hAnsi="宋体" w:cs="宋体"/>
                      <w:szCs w:val="21"/>
                    </w:rPr>
                    <w:t>1、业绩证明材料需提供合同或中标通知书扫描件，否则不予计取。2、以合同签订的时间为准，未体现合同签订时间的不予计取。未提供或无法判断的不得分。1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29" w:type="dxa"/>
                  <w:vMerge w:val="continue"/>
                  <w:tcBorders>
                    <w:left w:val="single" w:color="auto" w:sz="4" w:space="0"/>
                    <w:right w:val="single" w:color="auto" w:sz="4" w:space="0"/>
                  </w:tcBorders>
                  <w:noWrap w:val="0"/>
                  <w:vAlign w:val="center"/>
                </w:tcPr>
                <w:p/>
              </w:tc>
              <w:tc>
                <w:tcPr>
                  <w:tcW w:w="567"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3</w:t>
                  </w:r>
                </w:p>
              </w:tc>
              <w:tc>
                <w:tcPr>
                  <w:tcW w:w="1647" w:type="dxa"/>
                  <w:gridSpan w:val="2"/>
                  <w:tcBorders>
                    <w:top w:val="single" w:color="auto" w:sz="4" w:space="0"/>
                    <w:left w:val="single" w:color="auto" w:sz="4" w:space="0"/>
                    <w:bottom w:val="single" w:color="auto" w:sz="4" w:space="0"/>
                    <w:right w:val="single" w:color="auto" w:sz="4" w:space="0"/>
                  </w:tcBorders>
                  <w:noWrap w:val="0"/>
                  <w:vAlign w:val="top"/>
                </w:tcPr>
                <w:p>
                  <w:pPr>
                    <w:rPr>
                      <w:highlight w:val="yellow"/>
                    </w:rPr>
                  </w:pPr>
                  <w:r>
                    <w:rPr>
                      <w:rFonts w:hint="eastAsia"/>
                    </w:rPr>
                    <w:t>拟安排的项目总负责人情况（仅限一人）</w:t>
                  </w:r>
                </w:p>
              </w:tc>
              <w:tc>
                <w:tcPr>
                  <w:tcW w:w="479"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6</w:t>
                  </w:r>
                </w:p>
              </w:tc>
              <w:tc>
                <w:tcPr>
                  <w:tcW w:w="5841"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b/>
                      <w:bCs/>
                    </w:rPr>
                    <w:t>评分标准</w:t>
                  </w:r>
                  <w:r>
                    <w:rPr>
                      <w:rFonts w:hint="eastAsia"/>
                    </w:rPr>
                    <w:t>：</w:t>
                  </w:r>
                </w:p>
                <w:p>
                  <w:pPr>
                    <w:rPr>
                      <w:rFonts w:hint="eastAsia"/>
                    </w:rPr>
                  </w:pPr>
                  <w:r>
                    <w:rPr>
                      <w:rFonts w:hint="eastAsia"/>
                    </w:rPr>
                    <w:t>拟安排的项目总负责人情况：</w:t>
                  </w:r>
                </w:p>
                <w:p>
                  <w:pPr>
                    <w:rPr>
                      <w:rFonts w:hint="eastAsia"/>
                    </w:rPr>
                  </w:pPr>
                  <w:r>
                    <w:rPr>
                      <w:rFonts w:hint="eastAsia"/>
                    </w:rPr>
                    <w:t>1、投标人拟安排项目的负责人同时具有高级工程师、国家注册造价师资格证书的，得3分，否则不得分。</w:t>
                  </w:r>
                </w:p>
                <w:p>
                  <w:pPr>
                    <w:rPr>
                      <w:rFonts w:hint="eastAsia"/>
                    </w:rPr>
                  </w:pPr>
                  <w:r>
                    <w:rPr>
                      <w:rFonts w:hint="eastAsia"/>
                    </w:rPr>
                    <w:t>2、投标人拟安排项目的负责人具有同类服务经验，每提供1个得1分，本项最高得3分，没有的不得分。</w:t>
                  </w:r>
                </w:p>
                <w:p>
                  <w:pPr>
                    <w:rPr>
                      <w:rFonts w:hint="eastAsia"/>
                      <w:b/>
                      <w:bCs/>
                    </w:rPr>
                  </w:pPr>
                  <w:r>
                    <w:rPr>
                      <w:rFonts w:hint="eastAsia"/>
                      <w:b/>
                      <w:bCs/>
                    </w:rPr>
                    <w:t>评分依据：</w:t>
                  </w:r>
                </w:p>
                <w:p>
                  <w:r>
                    <w:rPr>
                      <w:rFonts w:hint="eastAsia"/>
                    </w:rPr>
                    <w:t>1、提供有效的认证证书复印件，并加盖投标人公章，原件备查；2、同类服务经验要求提供合同封面、签章页、注明有项目负责人名字的页面复印件或扫描件加盖投标人公章；3、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29" w:type="dxa"/>
                  <w:vMerge w:val="continue"/>
                  <w:tcBorders>
                    <w:left w:val="single" w:color="auto" w:sz="4" w:space="0"/>
                    <w:right w:val="single" w:color="auto" w:sz="4" w:space="0"/>
                  </w:tcBorders>
                  <w:noWrap w:val="0"/>
                  <w:vAlign w:val="center"/>
                </w:tcPr>
                <w:p/>
              </w:tc>
              <w:tc>
                <w:tcPr>
                  <w:tcW w:w="567" w:type="dxa"/>
                  <w:tcBorders>
                    <w:top w:val="single" w:color="auto" w:sz="4" w:space="0"/>
                    <w:left w:val="single" w:color="auto" w:sz="4" w:space="0"/>
                    <w:bottom w:val="single" w:color="auto" w:sz="4" w:space="0"/>
                    <w:right w:val="single" w:color="auto" w:sz="4" w:space="0"/>
                  </w:tcBorders>
                  <w:noWrap w:val="0"/>
                  <w:vAlign w:val="top"/>
                </w:tcPr>
                <w:p>
                  <w:r>
                    <w:rPr>
                      <w:rFonts w:hint="eastAsia"/>
                    </w:rPr>
                    <w:t>4</w:t>
                  </w:r>
                </w:p>
              </w:tc>
              <w:tc>
                <w:tcPr>
                  <w:tcW w:w="1647"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拟安排的项目主要团队成员（主要技术人员）情况（项目负责人除外）</w:t>
                  </w:r>
                </w:p>
              </w:tc>
              <w:tc>
                <w:tcPr>
                  <w:tcW w:w="479"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16</w:t>
                  </w:r>
                </w:p>
              </w:tc>
              <w:tc>
                <w:tcPr>
                  <w:tcW w:w="5841"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000000"/>
                      <w:szCs w:val="21"/>
                    </w:rPr>
                  </w:pPr>
                  <w:r>
                    <w:rPr>
                      <w:rFonts w:hint="eastAsia" w:ascii="宋体" w:hAnsi="宋体" w:cs="宋体"/>
                      <w:color w:val="000000"/>
                      <w:szCs w:val="21"/>
                    </w:rPr>
                    <w:t xml:space="preserve"> </w:t>
                  </w:r>
                  <w:r>
                    <w:rPr>
                      <w:rFonts w:hint="eastAsia"/>
                      <w:b/>
                      <w:bCs/>
                    </w:rPr>
                    <w:t>评分标准</w:t>
                  </w:r>
                  <w:r>
                    <w:rPr>
                      <w:rFonts w:hint="eastAsia"/>
                    </w:rPr>
                    <w:t>：</w:t>
                  </w:r>
                </w:p>
                <w:p>
                  <w:pPr>
                    <w:pStyle w:val="29"/>
                    <w:spacing w:line="280" w:lineRule="exact"/>
                    <w:jc w:val="left"/>
                    <w:rPr>
                      <w:rFonts w:hint="eastAsia"/>
                      <w:color w:val="000000"/>
                    </w:rPr>
                  </w:pPr>
                  <w:r>
                    <w:rPr>
                      <w:rFonts w:hint="eastAsia"/>
                      <w:color w:val="000000"/>
                    </w:rPr>
                    <w:t>考察</w:t>
                  </w:r>
                  <w:r>
                    <w:rPr>
                      <w:rFonts w:hint="eastAsia" w:ascii="宋体" w:hAnsi="宋体"/>
                      <w:color w:val="000000"/>
                      <w:szCs w:val="21"/>
                    </w:rPr>
                    <w:t>项目团队成员（项目总负责人除外）</w:t>
                  </w:r>
                  <w:r>
                    <w:rPr>
                      <w:rFonts w:hint="eastAsia"/>
                      <w:color w:val="000000"/>
                    </w:rPr>
                    <w:t>以下情况（</w:t>
                  </w:r>
                  <w:r>
                    <w:rPr>
                      <w:rFonts w:hint="eastAsia" w:ascii="宋体" w:hAnsi="宋体"/>
                      <w:color w:val="000000"/>
                      <w:szCs w:val="21"/>
                    </w:rPr>
                    <w:t>项目团队成员</w:t>
                  </w:r>
                  <w:r>
                    <w:rPr>
                      <w:rFonts w:hint="eastAsia"/>
                      <w:color w:val="000000"/>
                    </w:rPr>
                    <w:t>未通过投标人购买社保的不得分），</w:t>
                  </w:r>
                  <w:r>
                    <w:rPr>
                      <w:rFonts w:hint="eastAsia" w:ascii="宋体" w:hAnsi="宋体"/>
                      <w:color w:val="000000"/>
                      <w:szCs w:val="21"/>
                    </w:rPr>
                    <w:t>包括项目专业团队、设计专业团队成员</w:t>
                  </w:r>
                  <w:r>
                    <w:rPr>
                      <w:rFonts w:hint="eastAsia"/>
                      <w:color w:val="000000"/>
                    </w:rPr>
                    <w:t>、监理管理专业团队成员、造价管理专业团队成员：</w:t>
                  </w:r>
                </w:p>
                <w:p>
                  <w:pPr>
                    <w:pStyle w:val="29"/>
                    <w:numPr>
                      <w:ilvl w:val="0"/>
                      <w:numId w:val="5"/>
                    </w:numPr>
                    <w:spacing w:line="280" w:lineRule="exact"/>
                    <w:ind w:firstLine="420" w:firstLineChars="200"/>
                    <w:jc w:val="left"/>
                    <w:rPr>
                      <w:rFonts w:hint="eastAsia"/>
                      <w:color w:val="000000"/>
                    </w:rPr>
                  </w:pPr>
                  <w:r>
                    <w:rPr>
                      <w:rFonts w:hint="eastAsia"/>
                      <w:color w:val="000000"/>
                    </w:rPr>
                    <w:t>项目设计负责人（若为联合体投标，由承担设计工作的单位委派），具有中级及以上专业技术职称或具有注册设计工程师资格的；得2分。</w:t>
                  </w:r>
                </w:p>
                <w:p>
                  <w:pPr>
                    <w:pStyle w:val="29"/>
                    <w:spacing w:line="280" w:lineRule="exact"/>
                    <w:ind w:firstLine="420" w:firstLineChars="200"/>
                    <w:jc w:val="left"/>
                    <w:rPr>
                      <w:rFonts w:hint="eastAsia"/>
                      <w:color w:val="000000"/>
                    </w:rPr>
                  </w:pPr>
                  <w:r>
                    <w:rPr>
                      <w:rFonts w:hint="eastAsia"/>
                      <w:color w:val="000000"/>
                    </w:rPr>
                    <w:t>2、项目设计专业团队成员（不含设计负责人），具有初级及以上专业技术职称或具有注册设计师资格证书的；每个得0.5分，最高得2分。</w:t>
                  </w:r>
                </w:p>
                <w:p>
                  <w:pPr>
                    <w:pStyle w:val="29"/>
                    <w:spacing w:line="280" w:lineRule="exact"/>
                    <w:ind w:firstLine="420"/>
                    <w:jc w:val="left"/>
                    <w:rPr>
                      <w:rFonts w:hint="eastAsia"/>
                      <w:color w:val="000000"/>
                    </w:rPr>
                  </w:pPr>
                  <w:r>
                    <w:rPr>
                      <w:rFonts w:hint="eastAsia"/>
                      <w:color w:val="000000"/>
                    </w:rPr>
                    <w:t>3、项目总监理工程师（若为联合体投标，由承担监理工作的单位委派）：同时具备注册监理工程师执业资格（建筑工程或建筑装饰装修专业）和中级工程师及以上资格证书的；得2分。</w:t>
                  </w:r>
                </w:p>
                <w:p>
                  <w:pPr>
                    <w:pStyle w:val="29"/>
                    <w:spacing w:line="280" w:lineRule="exact"/>
                    <w:ind w:firstLine="420" w:firstLineChars="200"/>
                    <w:jc w:val="left"/>
                    <w:rPr>
                      <w:rFonts w:hint="eastAsia"/>
                      <w:color w:val="000000"/>
                    </w:rPr>
                  </w:pPr>
                  <w:r>
                    <w:rPr>
                      <w:rFonts w:hint="eastAsia"/>
                      <w:color w:val="000000"/>
                    </w:rPr>
                    <w:t>4、监理管理团队成员（不含总监理工程师），具有初级及以上专业技术职称或具有注册监理员及以上资格证书的；每个得0.5分，最高得2分。</w:t>
                  </w:r>
                </w:p>
                <w:p>
                  <w:pPr>
                    <w:pStyle w:val="29"/>
                    <w:spacing w:line="280" w:lineRule="exact"/>
                    <w:ind w:firstLine="420" w:firstLineChars="200"/>
                    <w:jc w:val="left"/>
                    <w:rPr>
                      <w:rFonts w:hint="eastAsia"/>
                      <w:color w:val="000000"/>
                    </w:rPr>
                  </w:pPr>
                  <w:r>
                    <w:rPr>
                      <w:rFonts w:hint="eastAsia"/>
                      <w:color w:val="000000"/>
                    </w:rPr>
                    <w:t>5、造价管理专业负责人（若为联合体投标，由承担造价咨询工作的单位委派）：具有注册造价工程师资格或一级造价工程师资格的。得2分。</w:t>
                  </w:r>
                </w:p>
                <w:p>
                  <w:pPr>
                    <w:pStyle w:val="29"/>
                    <w:spacing w:line="280" w:lineRule="exact"/>
                    <w:ind w:firstLine="420" w:firstLineChars="200"/>
                    <w:jc w:val="left"/>
                    <w:rPr>
                      <w:rFonts w:hint="eastAsia"/>
                      <w:color w:val="000000"/>
                    </w:rPr>
                  </w:pPr>
                  <w:r>
                    <w:rPr>
                      <w:rFonts w:hint="eastAsia"/>
                      <w:color w:val="000000"/>
                    </w:rPr>
                    <w:t>6、造价管理专业团队成员（不含造价管理专业负责人）：具有注册造价工程师资格或中级及以上专业技术职称的。每个得0.5分，最高得2分。</w:t>
                  </w:r>
                </w:p>
                <w:p>
                  <w:pPr>
                    <w:pStyle w:val="29"/>
                    <w:spacing w:line="280" w:lineRule="exact"/>
                    <w:ind w:firstLine="420" w:firstLineChars="200"/>
                    <w:jc w:val="left"/>
                    <w:rPr>
                      <w:rFonts w:hint="eastAsia"/>
                      <w:color w:val="000000"/>
                    </w:rPr>
                  </w:pPr>
                  <w:r>
                    <w:rPr>
                      <w:rFonts w:hint="eastAsia"/>
                      <w:color w:val="000000"/>
                    </w:rPr>
                    <w:t>7、项目团队成员（不含总负责人）具备FIDIC认证咨询工程师（FIDIC CERTIFIED  CONSULTING ENGINEER）的，每个2分，最高得2分。</w:t>
                  </w:r>
                </w:p>
                <w:p>
                  <w:pPr>
                    <w:pStyle w:val="29"/>
                    <w:spacing w:line="280" w:lineRule="exact"/>
                    <w:ind w:firstLine="420" w:firstLineChars="200"/>
                    <w:jc w:val="left"/>
                    <w:rPr>
                      <w:color w:val="000000"/>
                    </w:rPr>
                  </w:pPr>
                  <w:r>
                    <w:rPr>
                      <w:rFonts w:hint="eastAsia"/>
                      <w:color w:val="000000"/>
                    </w:rPr>
                    <w:t>8、项目管理团队成员（</w:t>
                  </w:r>
                  <w:r>
                    <w:rPr>
                      <w:rFonts w:hint="eastAsia" w:ascii="宋体" w:hAnsi="宋体"/>
                      <w:color w:val="000000"/>
                      <w:szCs w:val="21"/>
                    </w:rPr>
                    <w:t>项目总负责人除外</w:t>
                  </w:r>
                  <w:r>
                    <w:rPr>
                      <w:rFonts w:hint="eastAsia"/>
                      <w:color w:val="000000"/>
                    </w:rPr>
                    <w:t>），具有中级及以上专业技术职称的，每个得0.5分，最高得2分。</w:t>
                  </w:r>
                </w:p>
                <w:p>
                  <w:pPr>
                    <w:ind w:left="-78" w:leftChars="-37" w:right="-73" w:rightChars="-35"/>
                    <w:jc w:val="left"/>
                    <w:rPr>
                      <w:rFonts w:ascii="宋体" w:hAnsi="宋体" w:cs="宋体"/>
                      <w:color w:val="000000"/>
                      <w:szCs w:val="21"/>
                    </w:rPr>
                  </w:pPr>
                  <w:r>
                    <w:rPr>
                      <w:rFonts w:hint="eastAsia" w:ascii="宋体" w:hAnsi="宋体" w:cs="宋体"/>
                      <w:color w:val="000000"/>
                      <w:szCs w:val="21"/>
                    </w:rPr>
                    <w:t>以上（1）+（2）+（3）+（4）+（5）+（6）+（7）+（8）之和，最高得16分。（说明：同一个人同时满足以上条件，得分可累计。）</w:t>
                  </w:r>
                </w:p>
                <w:p>
                  <w:pPr>
                    <w:ind w:left="-78" w:leftChars="-37" w:right="-73" w:rightChars="-35" w:firstLine="211" w:firstLineChars="100"/>
                    <w:jc w:val="left"/>
                    <w:rPr>
                      <w:rFonts w:ascii="宋体" w:hAnsi="宋体"/>
                      <w:b/>
                      <w:bCs/>
                      <w:color w:val="000000"/>
                    </w:rPr>
                  </w:pPr>
                  <w:r>
                    <w:rPr>
                      <w:rFonts w:hint="eastAsia" w:ascii="宋体" w:hAnsi="宋体"/>
                      <w:b/>
                      <w:bCs/>
                      <w:color w:val="000000"/>
                    </w:rPr>
                    <w:t>评分依据：</w:t>
                  </w:r>
                </w:p>
                <w:p>
                  <w:pPr>
                    <w:ind w:left="-78" w:leftChars="-37" w:right="-73" w:rightChars="-35" w:firstLine="210" w:firstLineChars="100"/>
                    <w:jc w:val="left"/>
                    <w:rPr>
                      <w:rFonts w:ascii="宋体" w:hAnsi="宋体" w:cs="宋体"/>
                      <w:color w:val="000000"/>
                      <w:szCs w:val="21"/>
                    </w:rPr>
                  </w:pPr>
                  <w:r>
                    <w:rPr>
                      <w:rFonts w:hint="eastAsia" w:ascii="宋体" w:hAnsi="宋体"/>
                      <w:color w:val="000000"/>
                    </w:rPr>
                    <w:t>提供人员资格证书复印件件及开标日前三个月的社保缴交证明材料（如开标日上一个月的社保材料因社保部门原因暂时无法取得，则可以往前顺延一个月），以资料上缴交养老保险的总人数为准。原件备查。不按要求提供或扫描件不清晰导致无法辨认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29" w:type="dxa"/>
                  <w:vMerge w:val="continue"/>
                  <w:tcBorders>
                    <w:left w:val="single" w:color="auto" w:sz="4" w:space="0"/>
                    <w:right w:val="single" w:color="auto" w:sz="4" w:space="0"/>
                  </w:tcBorders>
                  <w:noWrap w:val="0"/>
                  <w:vAlign w:val="center"/>
                </w:tcPr>
                <w:p/>
              </w:tc>
              <w:tc>
                <w:tcPr>
                  <w:tcW w:w="567" w:type="dxa"/>
                  <w:tcBorders>
                    <w:top w:val="single" w:color="auto" w:sz="4" w:space="0"/>
                    <w:left w:val="single" w:color="auto" w:sz="4" w:space="0"/>
                    <w:bottom w:val="single" w:color="auto" w:sz="4" w:space="0"/>
                    <w:right w:val="single" w:color="auto" w:sz="4" w:space="0"/>
                  </w:tcBorders>
                  <w:noWrap w:val="0"/>
                  <w:vAlign w:val="top"/>
                </w:tcPr>
                <w:p>
                  <w:r>
                    <w:rPr>
                      <w:rFonts w:hint="eastAsia"/>
                    </w:rPr>
                    <w:t>5</w:t>
                  </w:r>
                </w:p>
              </w:tc>
              <w:tc>
                <w:tcPr>
                  <w:tcW w:w="1647"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ascii="宋体" w:hAnsi="宋体"/>
                      <w:color w:val="000000"/>
                      <w:szCs w:val="21"/>
                    </w:rPr>
                    <w:t>本地综合服务支撑能力，履约便利性。</w:t>
                  </w:r>
                </w:p>
              </w:tc>
              <w:tc>
                <w:tcPr>
                  <w:tcW w:w="479"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3</w:t>
                  </w:r>
                </w:p>
              </w:tc>
              <w:tc>
                <w:tcPr>
                  <w:tcW w:w="5841"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000000"/>
                      <w:szCs w:val="21"/>
                    </w:rPr>
                  </w:pPr>
                  <w:r>
                    <w:rPr>
                      <w:rFonts w:hint="eastAsia" w:ascii="inherit" w:hAnsi="inherit" w:cs="宋体"/>
                      <w:color w:val="000000"/>
                      <w:kern w:val="0"/>
                      <w:sz w:val="22"/>
                      <w:szCs w:val="22"/>
                    </w:rPr>
                    <w:t>投标人是</w:t>
                  </w:r>
                  <w:r>
                    <w:rPr>
                      <w:rFonts w:ascii="inherit" w:hAnsi="inherit" w:cs="宋体"/>
                      <w:color w:val="000000"/>
                      <w:kern w:val="0"/>
                      <w:sz w:val="22"/>
                      <w:szCs w:val="22"/>
                    </w:rPr>
                    <w:t>深圳供应商，或非深圳供应商但在深圳有合法注册的分公司（或售后机构）（分公司的必须提供分公司营业执照扫描件，售后机构必须同时提供售后服务合作合同及售后机构营业执照扫描件作为得分依据，原件备查）</w:t>
                  </w:r>
                  <w:r>
                    <w:rPr>
                      <w:rFonts w:hint="eastAsia" w:ascii="inherit" w:hAnsi="inherit" w:cs="宋体"/>
                      <w:color w:val="000000"/>
                      <w:kern w:val="0"/>
                      <w:sz w:val="22"/>
                      <w:szCs w:val="22"/>
                    </w:rPr>
                    <w:t>的</w:t>
                  </w:r>
                  <w:r>
                    <w:rPr>
                      <w:rFonts w:ascii="inherit" w:hAnsi="inherit" w:cs="宋体"/>
                      <w:color w:val="000000"/>
                      <w:kern w:val="0"/>
                      <w:sz w:val="22"/>
                      <w:szCs w:val="22"/>
                    </w:rPr>
                    <w:t>得</w:t>
                  </w:r>
                  <w:r>
                    <w:rPr>
                      <w:rFonts w:hint="eastAsia" w:ascii="inherit" w:hAnsi="inherit" w:cs="宋体"/>
                      <w:color w:val="000000"/>
                      <w:kern w:val="0"/>
                      <w:sz w:val="22"/>
                      <w:szCs w:val="22"/>
                    </w:rPr>
                    <w:t>3分，无</w:t>
                  </w:r>
                  <w:r>
                    <w:rPr>
                      <w:rFonts w:ascii="inherit" w:hAnsi="inherit" w:cs="宋体"/>
                      <w:color w:val="000000"/>
                      <w:kern w:val="0"/>
                      <w:sz w:val="22"/>
                      <w:szCs w:val="22"/>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8" w:hRule="atLeast"/>
              </w:trPr>
              <w:tc>
                <w:tcPr>
                  <w:tcW w:w="3112" w:type="dxa"/>
                  <w:gridSpan w:val="5"/>
                  <w:tcBorders>
                    <w:top w:val="single" w:color="auto" w:sz="4" w:space="0"/>
                    <w:left w:val="single" w:color="auto" w:sz="4" w:space="0"/>
                    <w:bottom w:val="single" w:color="auto" w:sz="4" w:space="0"/>
                    <w:right w:val="single" w:color="auto" w:sz="4" w:space="0"/>
                  </w:tcBorders>
                  <w:noWrap w:val="0"/>
                  <w:vAlign w:val="top"/>
                </w:tcPr>
                <w:p>
                  <w:r>
                    <w:rPr>
                      <w:rFonts w:hint="eastAsia"/>
                    </w:rPr>
                    <w:t>诚信情况</w:t>
                  </w:r>
                </w:p>
              </w:tc>
              <w:tc>
                <w:tcPr>
                  <w:tcW w:w="6044"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8"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r>
                    <w:t>序号</w:t>
                  </w:r>
                </w:p>
              </w:tc>
              <w:tc>
                <w:tcPr>
                  <w:tcW w:w="1692" w:type="dxa"/>
                  <w:gridSpan w:val="2"/>
                  <w:tcBorders>
                    <w:top w:val="single" w:color="auto" w:sz="4" w:space="0"/>
                    <w:left w:val="single" w:color="auto" w:sz="4" w:space="0"/>
                    <w:bottom w:val="single" w:color="auto" w:sz="4" w:space="0"/>
                    <w:right w:val="single" w:color="auto" w:sz="4" w:space="0"/>
                  </w:tcBorders>
                  <w:noWrap w:val="0"/>
                  <w:vAlign w:val="center"/>
                </w:tcPr>
                <w:p>
                  <w:r>
                    <w:t>评分因素</w:t>
                  </w:r>
                </w:p>
              </w:tc>
              <w:tc>
                <w:tcPr>
                  <w:tcW w:w="791" w:type="dxa"/>
                  <w:gridSpan w:val="2"/>
                  <w:tcBorders>
                    <w:top w:val="single" w:color="auto" w:sz="4" w:space="0"/>
                    <w:left w:val="single" w:color="auto" w:sz="4" w:space="0"/>
                    <w:bottom w:val="single" w:color="auto" w:sz="4" w:space="0"/>
                    <w:right w:val="single" w:color="auto" w:sz="4" w:space="0"/>
                  </w:tcBorders>
                  <w:noWrap w:val="0"/>
                  <w:vAlign w:val="center"/>
                </w:tcPr>
                <w:p>
                  <w:r>
                    <w:t>权重</w:t>
                  </w:r>
                </w:p>
              </w:tc>
              <w:tc>
                <w:tcPr>
                  <w:tcW w:w="6044" w:type="dxa"/>
                  <w:gridSpan w:val="2"/>
                  <w:tcBorders>
                    <w:top w:val="single" w:color="auto" w:sz="4" w:space="0"/>
                    <w:left w:val="single" w:color="auto" w:sz="4" w:space="0"/>
                    <w:bottom w:val="single" w:color="auto" w:sz="4" w:space="0"/>
                    <w:right w:val="single" w:color="auto" w:sz="4" w:space="0"/>
                  </w:tcBorders>
                  <w:noWrap w:val="0"/>
                  <w:vAlign w:val="center"/>
                </w:tcPr>
                <w:p>
                  <w: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8" w:hRule="atLeast"/>
              </w:trPr>
              <w:tc>
                <w:tcPr>
                  <w:tcW w:w="629" w:type="dxa"/>
                  <w:tcBorders>
                    <w:top w:val="single" w:color="auto" w:sz="4" w:space="0"/>
                    <w:left w:val="single" w:color="auto" w:sz="4" w:space="0"/>
                    <w:bottom w:val="single" w:color="auto" w:sz="4" w:space="0"/>
                    <w:right w:val="single" w:color="auto" w:sz="4" w:space="0"/>
                  </w:tcBorders>
                  <w:noWrap w:val="0"/>
                  <w:vAlign w:val="top"/>
                </w:tcPr>
                <w:p>
                  <w:r>
                    <w:t>1</w:t>
                  </w:r>
                </w:p>
              </w:tc>
              <w:tc>
                <w:tcPr>
                  <w:tcW w:w="1692"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企业诚信情况</w:t>
                  </w:r>
                </w:p>
              </w:tc>
              <w:tc>
                <w:tcPr>
                  <w:tcW w:w="791" w:type="dxa"/>
                  <w:gridSpan w:val="2"/>
                  <w:tcBorders>
                    <w:top w:val="single" w:color="auto" w:sz="4" w:space="0"/>
                    <w:left w:val="single" w:color="auto" w:sz="4" w:space="0"/>
                    <w:bottom w:val="single" w:color="auto" w:sz="4" w:space="0"/>
                    <w:right w:val="single" w:color="auto" w:sz="4" w:space="0"/>
                  </w:tcBorders>
                  <w:noWrap w:val="0"/>
                  <w:vAlign w:val="top"/>
                </w:tcPr>
                <w:p>
                  <w:r>
                    <w:t>5</w:t>
                  </w:r>
                </w:p>
              </w:tc>
              <w:tc>
                <w:tcPr>
                  <w:tcW w:w="6044"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根据《深圳市财政委员会关于印发〈深圳市政府采购供应商诚信管理暂行办法操作细则〉的通知》（深财购[2017]42号）的要求，投标人在参与政府采购活动中存在诚信相关问题且在主管部门相关处理措施实施期限内的，本项不得分，否则得满分。投标人无需提供任何证明材料，由工作人员向评审委员会提供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8" w:hRule="atLeast"/>
              </w:trPr>
              <w:tc>
                <w:tcPr>
                  <w:tcW w:w="629" w:type="dxa"/>
                  <w:tcBorders>
                    <w:top w:val="single" w:color="auto" w:sz="4" w:space="0"/>
                    <w:left w:val="single" w:color="auto" w:sz="4" w:space="0"/>
                    <w:bottom w:val="single" w:color="auto" w:sz="4" w:space="0"/>
                    <w:right w:val="single" w:color="auto" w:sz="4" w:space="0"/>
                  </w:tcBorders>
                  <w:noWrap w:val="0"/>
                  <w:vAlign w:val="top"/>
                </w:tcPr>
                <w:p>
                  <w:r>
                    <w:t>2</w:t>
                  </w:r>
                </w:p>
              </w:tc>
              <w:tc>
                <w:tcPr>
                  <w:tcW w:w="1692" w:type="dxa"/>
                  <w:gridSpan w:val="2"/>
                  <w:tcBorders>
                    <w:top w:val="single" w:color="auto" w:sz="4" w:space="0"/>
                    <w:left w:val="single" w:color="auto" w:sz="4" w:space="0"/>
                    <w:bottom w:val="single" w:color="auto" w:sz="4" w:space="0"/>
                    <w:right w:val="single" w:color="auto" w:sz="4" w:space="0"/>
                  </w:tcBorders>
                  <w:noWrap w:val="0"/>
                  <w:vAlign w:val="top"/>
                </w:tcPr>
                <w:p>
                  <w:r>
                    <w:t>履约评价情况</w:t>
                  </w:r>
                </w:p>
              </w:tc>
              <w:tc>
                <w:tcPr>
                  <w:tcW w:w="791" w:type="dxa"/>
                  <w:gridSpan w:val="2"/>
                  <w:tcBorders>
                    <w:top w:val="single" w:color="auto" w:sz="4" w:space="0"/>
                    <w:left w:val="single" w:color="auto" w:sz="4" w:space="0"/>
                    <w:bottom w:val="single" w:color="auto" w:sz="4" w:space="0"/>
                    <w:right w:val="single" w:color="auto" w:sz="4" w:space="0"/>
                  </w:tcBorders>
                  <w:noWrap w:val="0"/>
                  <w:vAlign w:val="top"/>
                </w:tcPr>
                <w:p>
                  <w:r>
                    <w:t>2</w:t>
                  </w:r>
                </w:p>
              </w:tc>
              <w:tc>
                <w:tcPr>
                  <w:tcW w:w="6044"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近三年（以投标截止日期为准）在政府相关采购过程中（ 政府采购中心或市建设工程交易服务中心）有履约评价为差的记录，本项不得分，否则，得满分。投标人无需提供任何证明材料，由采购工作人员向评委会提供相关信息。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8" w:hRule="atLeast"/>
              </w:trPr>
              <w:tc>
                <w:tcPr>
                  <w:tcW w:w="629" w:type="dxa"/>
                  <w:tcBorders>
                    <w:top w:val="single" w:color="auto" w:sz="4" w:space="0"/>
                    <w:left w:val="single" w:color="auto" w:sz="4" w:space="0"/>
                    <w:bottom w:val="single" w:color="auto" w:sz="4" w:space="0"/>
                    <w:right w:val="single" w:color="auto" w:sz="4" w:space="0"/>
                  </w:tcBorders>
                  <w:noWrap w:val="0"/>
                  <w:vAlign w:val="top"/>
                </w:tcPr>
                <w:p>
                  <w:r>
                    <w:t>3</w:t>
                  </w:r>
                </w:p>
              </w:tc>
              <w:tc>
                <w:tcPr>
                  <w:tcW w:w="1692"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企业信用情况</w:t>
                  </w:r>
                </w:p>
              </w:tc>
              <w:tc>
                <w:tcPr>
                  <w:tcW w:w="791"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3</w:t>
                  </w:r>
                </w:p>
              </w:tc>
              <w:tc>
                <w:tcPr>
                  <w:tcW w:w="6044" w:type="dxa"/>
                  <w:gridSpan w:val="2"/>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Cs w:val="21"/>
                    </w:rPr>
                  </w:pPr>
                  <w:r>
                    <w:rPr>
                      <w:rFonts w:hint="eastAsia" w:ascii="宋体" w:hAnsi="宋体" w:cs="宋体"/>
                      <w:color w:val="000000"/>
                      <w:kern w:val="0"/>
                      <w:szCs w:val="21"/>
                    </w:rPr>
                    <w:t>评分标准：</w:t>
                  </w:r>
                </w:p>
                <w:p>
                  <w:pPr>
                    <w:ind w:firstLine="210" w:firstLineChars="100"/>
                    <w:jc w:val="left"/>
                    <w:rPr>
                      <w:rFonts w:ascii="宋体" w:hAnsi="宋体"/>
                      <w:color w:val="000000"/>
                      <w:szCs w:val="21"/>
                    </w:rPr>
                  </w:pPr>
                  <w:r>
                    <w:rPr>
                      <w:rFonts w:hint="eastAsia" w:ascii="宋体" w:hAnsi="宋体" w:cs="宋体"/>
                      <w:color w:val="000000"/>
                      <w:kern w:val="0"/>
                      <w:szCs w:val="21"/>
                    </w:rPr>
                    <w:t>1、2016年1月至今获得省级或以上先进企业称号的一次得1分，市级先进监理企业称号的一次得0.5分，本小项最高得2分。</w:t>
                  </w:r>
                </w:p>
                <w:p>
                  <w:pPr>
                    <w:numPr>
                      <w:ilvl w:val="0"/>
                      <w:numId w:val="5"/>
                    </w:numPr>
                    <w:ind w:firstLine="420" w:firstLineChars="200"/>
                    <w:rPr>
                      <w:rFonts w:hint="eastAsia" w:ascii="宋体" w:hAnsi="宋体"/>
                      <w:color w:val="000000"/>
                      <w:szCs w:val="21"/>
                    </w:rPr>
                  </w:pPr>
                  <w:r>
                    <w:rPr>
                      <w:rFonts w:hint="eastAsia" w:ascii="宋体" w:hAnsi="宋体"/>
                      <w:color w:val="000000"/>
                      <w:szCs w:val="21"/>
                    </w:rPr>
                    <w:t>投标人具有企业行业信用等级证书AAA的得1分，无得0分。</w:t>
                  </w:r>
                </w:p>
                <w:p>
                  <w:pPr>
                    <w:rPr>
                      <w:bCs/>
                    </w:rPr>
                  </w:pPr>
                  <w:r>
                    <w:rPr>
                      <w:rFonts w:hint="eastAsia"/>
                      <w:bCs/>
                    </w:rPr>
                    <w:t>评分依据：</w:t>
                  </w:r>
                </w:p>
                <w:p>
                  <w:pPr>
                    <w:ind w:firstLine="210" w:firstLineChars="100"/>
                    <w:rPr>
                      <w:bCs/>
                    </w:rPr>
                  </w:pPr>
                  <w:r>
                    <w:rPr>
                      <w:rFonts w:hint="eastAsia"/>
                      <w:bCs/>
                    </w:rPr>
                    <w:t>1、要求提供奖项照片或获奖（荣誉）证书等证明材料作为得分依据。</w:t>
                  </w:r>
                </w:p>
                <w:p>
                  <w:pPr>
                    <w:ind w:firstLine="210" w:firstLineChars="100"/>
                    <w:rPr>
                      <w:bCs/>
                    </w:rPr>
                  </w:pPr>
                  <w:r>
                    <w:rPr>
                      <w:rFonts w:hint="eastAsia"/>
                      <w:bCs/>
                    </w:rPr>
                    <w:t>2、以上资料均要求提供扫描件，原件备查。</w:t>
                  </w:r>
                </w:p>
              </w:tc>
            </w:tr>
            <w:bookmarkEnd w:id="1"/>
            <w:bookmarkEnd w:id="2"/>
          </w:tbl>
          <w:p>
            <w:pPr>
              <w:numPr>
                <w:ilvl w:val="0"/>
                <w:numId w:val="0"/>
              </w:numPr>
              <w:rPr>
                <w:rFonts w:hint="eastAsia" w:ascii="宋体" w:hAnsi="宋体"/>
                <w:kern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2" w:hRule="atLeast"/>
        </w:trPr>
        <w:tc>
          <w:tcPr>
            <w:tcW w:w="433" w:type="dxa"/>
            <w:noWrap w:val="0"/>
            <w:vAlign w:val="top"/>
          </w:tcPr>
          <w:p>
            <w:pPr>
              <w:jc w:val="center"/>
              <w:rPr>
                <w:rFonts w:hint="eastAsia" w:ascii="宋体" w:hAnsi="宋体" w:cs="宋体"/>
                <w:kern w:val="0"/>
                <w:szCs w:val="21"/>
              </w:rPr>
            </w:pPr>
          </w:p>
        </w:tc>
        <w:tc>
          <w:tcPr>
            <w:tcW w:w="9265" w:type="dxa"/>
            <w:gridSpan w:val="4"/>
            <w:noWrap w:val="0"/>
            <w:vAlign w:val="top"/>
          </w:tcPr>
          <w:p>
            <w:pPr>
              <w:spacing w:after="156" w:afterLines="50" w:line="500" w:lineRule="exact"/>
              <w:jc w:val="left"/>
              <w:rPr>
                <w:rFonts w:hint="eastAsia" w:ascii="仿宋_GB2312" w:eastAsia="仿宋_GB2312"/>
                <w:b/>
                <w:bCs/>
                <w:sz w:val="24"/>
              </w:rPr>
            </w:pPr>
          </w:p>
          <w:p>
            <w:pPr>
              <w:wordWrap w:val="0"/>
              <w:jc w:val="right"/>
              <w:rPr>
                <w:rFonts w:ascii="黑体" w:hAnsi="黑体" w:eastAsia="黑体"/>
                <w:sz w:val="28"/>
                <w:szCs w:val="28"/>
              </w:rPr>
            </w:pPr>
            <w:r>
              <w:rPr>
                <w:rFonts w:hint="eastAsia" w:ascii="黑体" w:hAnsi="黑体" w:eastAsia="黑体"/>
                <w:sz w:val="28"/>
                <w:szCs w:val="28"/>
              </w:rPr>
              <w:t>工程编号：</w:t>
            </w:r>
            <w:r>
              <w:rPr>
                <w:rFonts w:hint="eastAsia" w:ascii="黑体" w:hAnsi="黑体" w:eastAsia="黑体"/>
                <w:sz w:val="28"/>
                <w:szCs w:val="28"/>
                <w:u w:val="single"/>
              </w:rPr>
              <w:t xml:space="preserve">                    </w:t>
            </w:r>
          </w:p>
          <w:p>
            <w:pPr>
              <w:wordWrap w:val="0"/>
              <w:jc w:val="right"/>
              <w:rPr>
                <w:rFonts w:ascii="黑体" w:hAnsi="黑体" w:eastAsia="黑体"/>
                <w:sz w:val="28"/>
                <w:szCs w:val="28"/>
              </w:rPr>
            </w:pPr>
            <w:r>
              <w:rPr>
                <w:rFonts w:hint="eastAsia" w:ascii="黑体" w:hAnsi="黑体" w:eastAsia="黑体"/>
                <w:sz w:val="28"/>
                <w:szCs w:val="28"/>
              </w:rPr>
              <w:t>合同编号：</w:t>
            </w:r>
            <w:r>
              <w:rPr>
                <w:rFonts w:hint="eastAsia" w:ascii="黑体" w:hAnsi="黑体" w:eastAsia="黑体"/>
                <w:sz w:val="28"/>
                <w:szCs w:val="28"/>
                <w:u w:val="single"/>
              </w:rPr>
              <w:t xml:space="preserve">                    </w:t>
            </w:r>
          </w:p>
          <w:p>
            <w:pPr>
              <w:rPr>
                <w:rFonts w:ascii="黑体" w:hAnsi="宋体" w:eastAsia="黑体"/>
                <w:sz w:val="48"/>
              </w:rPr>
            </w:pPr>
          </w:p>
          <w:p>
            <w:pPr>
              <w:jc w:val="center"/>
              <w:rPr>
                <w:rFonts w:hint="eastAsia" w:ascii="仿宋" w:hAnsi="仿宋" w:eastAsia="仿宋" w:cs="仿宋"/>
                <w:sz w:val="48"/>
                <w:szCs w:val="48"/>
              </w:rPr>
            </w:pPr>
            <w:r>
              <w:rPr>
                <w:rFonts w:hint="eastAsia" w:ascii="仿宋" w:hAnsi="仿宋" w:eastAsia="仿宋" w:cs="仿宋"/>
                <w:sz w:val="48"/>
                <w:szCs w:val="48"/>
              </w:rPr>
              <w:t>深 圳 市 建 设 工 程</w:t>
            </w:r>
          </w:p>
          <w:p>
            <w:pPr>
              <w:jc w:val="center"/>
              <w:rPr>
                <w:rFonts w:hint="eastAsia" w:ascii="仿宋" w:hAnsi="仿宋" w:eastAsia="仿宋" w:cs="仿宋"/>
                <w:sz w:val="48"/>
                <w:szCs w:val="48"/>
              </w:rPr>
            </w:pPr>
          </w:p>
          <w:p>
            <w:pPr>
              <w:jc w:val="center"/>
              <w:rPr>
                <w:rFonts w:hint="eastAsia" w:ascii="仿宋" w:hAnsi="仿宋" w:eastAsia="仿宋" w:cs="仿宋"/>
                <w:sz w:val="48"/>
                <w:szCs w:val="48"/>
              </w:rPr>
            </w:pPr>
            <w:r>
              <w:rPr>
                <w:rFonts w:hint="eastAsia" w:ascii="仿宋" w:hAnsi="仿宋" w:eastAsia="仿宋" w:cs="仿宋"/>
                <w:sz w:val="48"/>
                <w:szCs w:val="48"/>
              </w:rPr>
              <w:t>项目全过程工程咨询委托合同</w:t>
            </w:r>
          </w:p>
          <w:p>
            <w:pPr>
              <w:rPr>
                <w:rFonts w:hint="eastAsia" w:ascii="仿宋" w:hAnsi="仿宋" w:eastAsia="仿宋" w:cs="仿宋"/>
                <w:sz w:val="48"/>
                <w:szCs w:val="48"/>
              </w:rPr>
            </w:pPr>
          </w:p>
          <w:p>
            <w:pPr>
              <w:rPr>
                <w:rFonts w:ascii="楷体_GB2312" w:hAnsi="宋体" w:eastAsia="楷体_GB2312"/>
                <w:sz w:val="32"/>
                <w:szCs w:val="32"/>
              </w:rPr>
            </w:pPr>
          </w:p>
          <w:p>
            <w:pPr>
              <w:spacing w:line="720" w:lineRule="auto"/>
              <w:jc w:val="left"/>
              <w:rPr>
                <w:rFonts w:hint="eastAsia" w:ascii="仿宋" w:hAnsi="仿宋" w:eastAsia="仿宋" w:cs="仿宋"/>
                <w:spacing w:val="16"/>
                <w:sz w:val="30"/>
                <w:szCs w:val="30"/>
                <w:u w:val="single"/>
              </w:rPr>
            </w:pPr>
            <w:r>
              <w:rPr>
                <w:rFonts w:hint="eastAsia" w:ascii="仿宋" w:hAnsi="仿宋" w:eastAsia="仿宋" w:cs="仿宋"/>
                <w:b/>
                <w:spacing w:val="16"/>
                <w:sz w:val="30"/>
                <w:szCs w:val="30"/>
              </w:rPr>
              <w:t>工程名称：</w:t>
            </w:r>
            <w:r>
              <w:rPr>
                <w:rFonts w:hint="eastAsia" w:ascii="仿宋" w:hAnsi="仿宋" w:eastAsia="仿宋" w:cs="仿宋"/>
                <w:spacing w:val="16"/>
                <w:sz w:val="30"/>
                <w:szCs w:val="30"/>
                <w:u w:val="single"/>
                <w:lang w:eastAsia="zh-CN"/>
              </w:rPr>
              <w:t>工程项目管理及监理服务</w:t>
            </w:r>
          </w:p>
          <w:p>
            <w:pPr>
              <w:spacing w:line="720" w:lineRule="auto"/>
              <w:rPr>
                <w:rFonts w:hint="eastAsia" w:ascii="仿宋" w:hAnsi="仿宋" w:eastAsia="仿宋" w:cs="仿宋"/>
                <w:spacing w:val="16"/>
                <w:sz w:val="30"/>
                <w:szCs w:val="30"/>
                <w:u w:val="single"/>
              </w:rPr>
            </w:pPr>
            <w:r>
              <w:rPr>
                <w:rFonts w:hint="eastAsia" w:ascii="仿宋" w:hAnsi="仿宋" w:eastAsia="仿宋" w:cs="仿宋"/>
                <w:b/>
                <w:spacing w:val="16"/>
                <w:sz w:val="30"/>
                <w:szCs w:val="30"/>
              </w:rPr>
              <w:t>工程地点：</w:t>
            </w:r>
            <w:r>
              <w:rPr>
                <w:rFonts w:hint="eastAsia" w:ascii="仿宋" w:hAnsi="仿宋" w:eastAsia="仿宋" w:cs="仿宋"/>
                <w:spacing w:val="16"/>
                <w:sz w:val="30"/>
                <w:szCs w:val="30"/>
                <w:u w:val="single"/>
                <w:lang w:eastAsia="zh-CN"/>
              </w:rPr>
              <w:t>深圳市南山区丽水路</w:t>
            </w:r>
            <w:r>
              <w:rPr>
                <w:rFonts w:hint="eastAsia" w:ascii="仿宋" w:hAnsi="仿宋" w:eastAsia="仿宋" w:cs="仿宋"/>
                <w:spacing w:val="16"/>
                <w:sz w:val="30"/>
                <w:szCs w:val="30"/>
                <w:u w:val="single"/>
                <w:lang w:val="en-US" w:eastAsia="zh-CN"/>
              </w:rPr>
              <w:t>2239号大学城图书馆内</w:t>
            </w:r>
            <w:r>
              <w:rPr>
                <w:rFonts w:hint="eastAsia" w:ascii="仿宋" w:hAnsi="仿宋" w:eastAsia="仿宋" w:cs="仿宋"/>
                <w:spacing w:val="16"/>
                <w:sz w:val="30"/>
                <w:szCs w:val="30"/>
                <w:u w:val="single"/>
                <w:lang w:eastAsia="zh-CN"/>
              </w:rPr>
              <w:t xml:space="preserve"> </w:t>
            </w:r>
          </w:p>
          <w:p>
            <w:pPr>
              <w:spacing w:line="720" w:lineRule="auto"/>
              <w:rPr>
                <w:rFonts w:hint="eastAsia" w:ascii="仿宋" w:hAnsi="仿宋" w:eastAsia="仿宋" w:cs="仿宋"/>
                <w:sz w:val="30"/>
                <w:szCs w:val="30"/>
                <w:u w:val="single"/>
              </w:rPr>
            </w:pPr>
            <w:r>
              <w:rPr>
                <w:rFonts w:hint="eastAsia" w:ascii="仿宋" w:hAnsi="仿宋" w:eastAsia="仿宋" w:cs="仿宋"/>
                <w:b/>
                <w:spacing w:val="16"/>
                <w:sz w:val="30"/>
                <w:szCs w:val="30"/>
              </w:rPr>
              <w:t>委 托 人：</w:t>
            </w:r>
            <w:r>
              <w:rPr>
                <w:rFonts w:hint="eastAsia" w:ascii="仿宋" w:hAnsi="仿宋" w:eastAsia="仿宋" w:cs="仿宋"/>
                <w:spacing w:val="16"/>
                <w:sz w:val="30"/>
                <w:szCs w:val="30"/>
                <w:u w:val="single"/>
                <w:lang w:val="en-US" w:eastAsia="zh-CN"/>
              </w:rPr>
              <w:t>深圳大学城图书馆</w:t>
            </w:r>
          </w:p>
          <w:p>
            <w:pPr>
              <w:spacing w:line="720" w:lineRule="auto"/>
              <w:rPr>
                <w:rFonts w:hint="eastAsia" w:ascii="仿宋" w:hAnsi="仿宋" w:eastAsia="仿宋" w:cs="仿宋"/>
                <w:sz w:val="30"/>
                <w:szCs w:val="30"/>
              </w:rPr>
            </w:pPr>
            <w:r>
              <w:rPr>
                <w:rFonts w:hint="eastAsia" w:ascii="仿宋" w:hAnsi="仿宋" w:eastAsia="仿宋" w:cs="仿宋"/>
                <w:b/>
                <w:spacing w:val="16"/>
                <w:sz w:val="30"/>
                <w:szCs w:val="30"/>
              </w:rPr>
              <w:t>咨 询 人：</w:t>
            </w:r>
            <w:r>
              <w:rPr>
                <w:rFonts w:hint="eastAsia" w:ascii="仿宋" w:hAnsi="仿宋" w:eastAsia="仿宋" w:cs="仿宋"/>
                <w:spacing w:val="16"/>
                <w:sz w:val="30"/>
                <w:szCs w:val="30"/>
                <w:u w:val="single"/>
                <w:lang w:val="en-US" w:eastAsia="zh-CN"/>
              </w:rPr>
              <w:t>周科</w:t>
            </w:r>
          </w:p>
          <w:p>
            <w:pPr>
              <w:jc w:val="center"/>
              <w:rPr>
                <w:rFonts w:ascii="黑体" w:hAnsi="黑体" w:eastAsia="黑体"/>
                <w:bCs/>
                <w:sz w:val="30"/>
              </w:rPr>
            </w:pPr>
          </w:p>
          <w:p>
            <w:pPr>
              <w:jc w:val="center"/>
              <w:rPr>
                <w:rFonts w:ascii="黑体" w:hAnsi="黑体" w:eastAsia="黑体"/>
                <w:bCs/>
                <w:sz w:val="30"/>
              </w:rPr>
            </w:pPr>
          </w:p>
          <w:p>
            <w:pPr>
              <w:jc w:val="center"/>
              <w:rPr>
                <w:rFonts w:ascii="黑体" w:hAnsi="黑体" w:eastAsia="黑体"/>
                <w:bCs/>
                <w:sz w:val="30"/>
              </w:rPr>
            </w:pPr>
          </w:p>
          <w:p>
            <w:pPr>
              <w:jc w:val="center"/>
              <w:rPr>
                <w:rFonts w:ascii="黑体" w:hAnsi="黑体" w:eastAsia="黑体"/>
                <w:bCs/>
                <w:sz w:val="30"/>
              </w:rPr>
            </w:pPr>
            <w:r>
              <w:rPr>
                <w:rFonts w:hint="eastAsia" w:ascii="黑体" w:hAnsi="黑体" w:eastAsia="黑体"/>
                <w:bCs/>
                <w:sz w:val="30"/>
              </w:rPr>
              <w:t>202</w:t>
            </w:r>
            <w:r>
              <w:rPr>
                <w:rFonts w:hint="eastAsia" w:ascii="黑体" w:hAnsi="黑体" w:eastAsia="黑体"/>
                <w:bCs/>
                <w:sz w:val="30"/>
                <w:lang w:val="en-US" w:eastAsia="zh-CN"/>
              </w:rPr>
              <w:t>2</w:t>
            </w:r>
            <w:r>
              <w:rPr>
                <w:rFonts w:hint="eastAsia" w:ascii="黑体" w:hAnsi="黑体" w:eastAsia="黑体"/>
                <w:bCs/>
                <w:sz w:val="30"/>
              </w:rPr>
              <w:t xml:space="preserve"> 年    月</w:t>
            </w:r>
          </w:p>
          <w:p>
            <w:pPr>
              <w:pStyle w:val="4"/>
              <w:tabs>
                <w:tab w:val="left" w:pos="2040"/>
              </w:tabs>
              <w:spacing w:before="156" w:beforeLines="50" w:after="156" w:afterLines="50" w:line="360" w:lineRule="auto"/>
              <w:jc w:val="center"/>
              <w:rPr>
                <w:rFonts w:hint="eastAsia"/>
                <w:sz w:val="44"/>
                <w:szCs w:val="44"/>
              </w:rPr>
            </w:pPr>
            <w:bookmarkStart w:id="3" w:name="_Toc24093"/>
          </w:p>
          <w:p>
            <w:pPr>
              <w:pStyle w:val="4"/>
              <w:tabs>
                <w:tab w:val="left" w:pos="2040"/>
              </w:tabs>
              <w:spacing w:before="156" w:beforeLines="50" w:after="156" w:afterLines="50" w:line="360" w:lineRule="auto"/>
              <w:jc w:val="center"/>
              <w:rPr>
                <w:sz w:val="44"/>
                <w:szCs w:val="44"/>
              </w:rPr>
            </w:pPr>
            <w:r>
              <w:rPr>
                <w:rFonts w:hint="eastAsia"/>
                <w:sz w:val="44"/>
                <w:szCs w:val="44"/>
              </w:rPr>
              <w:t>一、合同协议书</w:t>
            </w:r>
            <w:bookmarkEnd w:id="3"/>
          </w:p>
          <w:p>
            <w:pPr>
              <w:adjustRightInd w:val="0"/>
              <w:snapToGrid w:val="0"/>
              <w:spacing w:line="360" w:lineRule="auto"/>
              <w:ind w:firstLine="482" w:firstLineChars="200"/>
              <w:rPr>
                <w:rFonts w:ascii="仿宋_GB2312" w:hAnsi="宋体" w:eastAsia="仿宋_GB2312"/>
                <w:b/>
                <w:sz w:val="24"/>
              </w:rPr>
            </w:pPr>
            <w:r>
              <w:rPr>
                <w:rFonts w:hint="eastAsia" w:ascii="仿宋_GB2312" w:hAnsi="宋体" w:eastAsia="仿宋_GB2312"/>
                <w:b/>
                <w:sz w:val="24"/>
              </w:rPr>
              <w:t>委托人（全称）：</w:t>
            </w:r>
            <w:r>
              <w:rPr>
                <w:rFonts w:hint="eastAsia" w:ascii="仿宋_GB2312" w:hAnsi="宋体" w:eastAsia="仿宋_GB2312"/>
                <w:b/>
                <w:sz w:val="24"/>
                <w:u w:val="single"/>
              </w:rPr>
              <w:t>深圳大</w:t>
            </w:r>
            <w:r>
              <w:rPr>
                <w:rFonts w:hint="eastAsia" w:ascii="仿宋_GB2312" w:hAnsi="宋体" w:eastAsia="仿宋_GB2312"/>
                <w:b/>
                <w:sz w:val="24"/>
                <w:u w:val="single"/>
                <w:lang w:val="en-US" w:eastAsia="zh-CN"/>
              </w:rPr>
              <w:t>学城图书馆</w:t>
            </w:r>
            <w:r>
              <w:rPr>
                <w:rFonts w:hint="eastAsia" w:ascii="仿宋_GB2312" w:hAnsi="宋体" w:eastAsia="仿宋_GB2312"/>
                <w:b/>
                <w:sz w:val="24"/>
                <w:u w:val="single"/>
              </w:rPr>
              <w:t xml:space="preserve">              </w:t>
            </w:r>
          </w:p>
          <w:p>
            <w:pPr>
              <w:adjustRightInd w:val="0"/>
              <w:snapToGrid w:val="0"/>
              <w:spacing w:line="360" w:lineRule="auto"/>
              <w:ind w:firstLine="482" w:firstLineChars="200"/>
              <w:rPr>
                <w:rFonts w:ascii="仿宋_GB2312" w:hAnsi="宋体" w:eastAsia="仿宋_GB2312"/>
                <w:sz w:val="24"/>
                <w:u w:val="single"/>
              </w:rPr>
            </w:pPr>
            <w:r>
              <w:rPr>
                <w:rFonts w:hint="eastAsia" w:ascii="仿宋_GB2312" w:hAnsi="宋体" w:eastAsia="仿宋_GB2312"/>
                <w:b/>
                <w:sz w:val="24"/>
              </w:rPr>
              <w:t>全过程工程咨询单位（全称）：</w:t>
            </w:r>
            <w:r>
              <w:rPr>
                <w:rFonts w:hint="eastAsia" w:ascii="仿宋_GB2312" w:hAnsi="宋体" w:eastAsia="仿宋_GB2312"/>
                <w:b/>
                <w:sz w:val="24"/>
                <w:u w:val="single"/>
              </w:rPr>
              <w:t xml:space="preserve">                       </w:t>
            </w:r>
          </w:p>
          <w:p>
            <w:pPr>
              <w:adjustRightInd w:val="0"/>
              <w:snapToGrid w:val="0"/>
              <w:spacing w:line="360" w:lineRule="auto"/>
              <w:ind w:firstLine="480" w:firstLineChars="200"/>
              <w:rPr>
                <w:rFonts w:ascii="仿宋_GB2312" w:hAnsi="宋体" w:eastAsia="仿宋_GB2312"/>
                <w:sz w:val="24"/>
                <w:u w:val="single"/>
              </w:rPr>
            </w:pPr>
            <w:r>
              <w:rPr>
                <w:rFonts w:hint="eastAsia" w:ascii="仿宋_GB2312" w:hAnsi="宋体" w:eastAsia="仿宋_GB2312"/>
                <w:sz w:val="24"/>
              </w:rPr>
              <w:t>根据《中华人民共和国合同法》、《中华人民共和国建筑法》及其他有关法律、法规，遵循平等、自愿、公平和诚信的原则，双方就下述工程委托工程咨询与相关服务事项协商一致，订立本合同。</w:t>
            </w:r>
          </w:p>
          <w:p>
            <w:pPr>
              <w:adjustRightInd w:val="0"/>
              <w:snapToGrid w:val="0"/>
              <w:spacing w:line="360" w:lineRule="auto"/>
              <w:ind w:firstLine="477" w:firstLineChars="198"/>
              <w:outlineLvl w:val="0"/>
              <w:rPr>
                <w:rFonts w:ascii="仿宋_GB2312" w:hAnsi="宋体" w:eastAsia="仿宋_GB2312"/>
                <w:b/>
                <w:sz w:val="24"/>
              </w:rPr>
            </w:pPr>
            <w:bookmarkStart w:id="4" w:name="_Toc468553682"/>
            <w:bookmarkStart w:id="5" w:name="_Toc10808"/>
            <w:bookmarkStart w:id="6" w:name="_Toc20373"/>
            <w:bookmarkStart w:id="7" w:name="_Toc24205"/>
            <w:r>
              <w:rPr>
                <w:rFonts w:hint="eastAsia" w:ascii="仿宋_GB2312" w:hAnsi="宋体" w:eastAsia="仿宋_GB2312"/>
                <w:b/>
                <w:sz w:val="24"/>
              </w:rPr>
              <w:t>一、工程概况</w:t>
            </w:r>
            <w:bookmarkEnd w:id="4"/>
            <w:bookmarkEnd w:id="5"/>
            <w:bookmarkEnd w:id="6"/>
            <w:bookmarkEnd w:id="7"/>
          </w:p>
          <w:p>
            <w:pPr>
              <w:adjustRightInd w:val="0"/>
              <w:snapToGrid w:val="0"/>
              <w:spacing w:line="360" w:lineRule="auto"/>
              <w:ind w:firstLine="475" w:firstLineChars="198"/>
              <w:rPr>
                <w:rFonts w:hint="eastAsia" w:ascii="仿宋_GB2312" w:hAnsi="宋体" w:eastAsia="仿宋_GB2312"/>
                <w:sz w:val="24"/>
                <w:u w:val="single"/>
              </w:rPr>
            </w:pPr>
            <w:r>
              <w:rPr>
                <w:rFonts w:hint="eastAsia" w:ascii="仿宋_GB2312" w:hAnsi="宋体" w:eastAsia="仿宋_GB2312"/>
                <w:sz w:val="24"/>
              </w:rPr>
              <w:t>1. 工程名称：</w:t>
            </w:r>
            <w:r>
              <w:rPr>
                <w:rFonts w:hint="eastAsia" w:ascii="仿宋_GB2312" w:hAnsi="宋体" w:eastAsia="仿宋_GB2312"/>
                <w:sz w:val="24"/>
                <w:u w:val="single"/>
              </w:rPr>
              <w:t xml:space="preserve">             </w:t>
            </w:r>
          </w:p>
          <w:p>
            <w:pPr>
              <w:adjustRightInd w:val="0"/>
              <w:snapToGrid w:val="0"/>
              <w:spacing w:line="360" w:lineRule="auto"/>
              <w:ind w:firstLine="475" w:firstLineChars="198"/>
              <w:rPr>
                <w:rFonts w:ascii="仿宋_GB2312" w:hAnsi="宋体" w:eastAsia="仿宋_GB2312"/>
                <w:sz w:val="24"/>
              </w:rPr>
            </w:pPr>
            <w:r>
              <w:rPr>
                <w:rFonts w:hint="eastAsia" w:ascii="仿宋_GB2312" w:hAnsi="宋体" w:eastAsia="仿宋_GB2312"/>
                <w:sz w:val="24"/>
              </w:rPr>
              <w:t>2. 工程地点：</w:t>
            </w:r>
            <w:r>
              <w:rPr>
                <w:rFonts w:hint="eastAsia" w:ascii="仿宋_GB2312" w:hAnsi="宋体" w:eastAsia="仿宋_GB2312"/>
                <w:b/>
                <w:sz w:val="24"/>
                <w:u w:val="single"/>
              </w:rPr>
              <w:t>深圳</w:t>
            </w:r>
            <w:r>
              <w:rPr>
                <w:rFonts w:hint="eastAsia" w:ascii="仿宋_GB2312" w:hAnsi="宋体" w:eastAsia="仿宋_GB2312"/>
                <w:b/>
                <w:sz w:val="24"/>
                <w:u w:val="single"/>
                <w:lang w:val="en-US" w:eastAsia="zh-CN"/>
              </w:rPr>
              <w:t>大学城图书馆</w:t>
            </w:r>
            <w:r>
              <w:rPr>
                <w:rFonts w:hint="eastAsia" w:ascii="仿宋_GB2312" w:hAnsi="宋体" w:eastAsia="仿宋_GB2312"/>
                <w:b/>
                <w:sz w:val="24"/>
                <w:u w:val="single"/>
              </w:rPr>
              <w:t>内</w:t>
            </w:r>
            <w:r>
              <w:rPr>
                <w:rFonts w:hint="eastAsia" w:ascii="仿宋_GB2312" w:hAnsi="宋体" w:eastAsia="仿宋_GB2312"/>
                <w:sz w:val="24"/>
              </w:rPr>
              <w:t>；</w:t>
            </w:r>
          </w:p>
          <w:p>
            <w:pPr>
              <w:spacing w:line="360" w:lineRule="auto"/>
              <w:ind w:firstLine="480" w:firstLineChars="200"/>
              <w:rPr>
                <w:rFonts w:hint="eastAsia" w:ascii="宋体" w:hAnsi="宋体"/>
                <w:szCs w:val="21"/>
              </w:rPr>
            </w:pPr>
            <w:r>
              <w:rPr>
                <w:rFonts w:hint="eastAsia" w:ascii="仿宋_GB2312" w:hAnsi="宋体" w:eastAsia="仿宋_GB2312"/>
                <w:sz w:val="24"/>
              </w:rPr>
              <w:t>3. 工程规模：</w:t>
            </w:r>
          </w:p>
          <w:p>
            <w:pPr>
              <w:adjustRightInd w:val="0"/>
              <w:snapToGrid w:val="0"/>
              <w:spacing w:line="360" w:lineRule="auto"/>
              <w:ind w:firstLine="475" w:firstLineChars="198"/>
              <w:jc w:val="left"/>
              <w:rPr>
                <w:rFonts w:hint="eastAsia" w:ascii="仿宋_GB2312" w:hAnsi="宋体" w:eastAsia="仿宋_GB2312"/>
                <w:sz w:val="24"/>
              </w:rPr>
            </w:pPr>
            <w:r>
              <w:rPr>
                <w:rFonts w:hint="eastAsia" w:ascii="仿宋_GB2312" w:hAnsi="宋体" w:eastAsia="仿宋_GB2312"/>
                <w:sz w:val="24"/>
              </w:rPr>
              <w:t>4. 工程</w:t>
            </w:r>
            <w:r>
              <w:rPr>
                <w:rFonts w:hint="eastAsia" w:ascii="仿宋_GB2312" w:hAnsi="宋体" w:eastAsia="仿宋_GB2312"/>
                <w:kern w:val="0"/>
                <w:sz w:val="24"/>
              </w:rPr>
              <w:t>概算投资</w:t>
            </w:r>
            <w:r>
              <w:rPr>
                <w:rFonts w:hint="eastAsia" w:ascii="仿宋_GB2312" w:hAnsi="宋体" w:eastAsia="仿宋_GB2312" w:cs="宋体"/>
                <w:kern w:val="0"/>
                <w:sz w:val="24"/>
              </w:rPr>
              <w:t>额或建筑安装工程费</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万元。</w:t>
            </w:r>
          </w:p>
          <w:p>
            <w:pPr>
              <w:adjustRightInd w:val="0"/>
              <w:snapToGrid w:val="0"/>
              <w:spacing w:line="360" w:lineRule="auto"/>
              <w:ind w:firstLine="477" w:firstLineChars="198"/>
              <w:outlineLvl w:val="0"/>
              <w:rPr>
                <w:rFonts w:ascii="仿宋_GB2312" w:hAnsi="宋体" w:eastAsia="仿宋_GB2312"/>
                <w:b/>
                <w:sz w:val="24"/>
              </w:rPr>
            </w:pPr>
            <w:bookmarkStart w:id="8" w:name="_Toc28817"/>
            <w:bookmarkStart w:id="9" w:name="_Toc468553683"/>
            <w:r>
              <w:rPr>
                <w:rFonts w:hint="eastAsia" w:ascii="仿宋_GB2312" w:hAnsi="宋体" w:eastAsia="仿宋_GB2312"/>
                <w:b/>
                <w:sz w:val="24"/>
              </w:rPr>
              <w:t>二、词语限定</w:t>
            </w:r>
            <w:bookmarkEnd w:id="8"/>
            <w:bookmarkEnd w:id="9"/>
          </w:p>
          <w:p>
            <w:pPr>
              <w:adjustRightInd w:val="0"/>
              <w:snapToGrid w:val="0"/>
              <w:spacing w:line="360" w:lineRule="auto"/>
              <w:ind w:firstLine="475" w:firstLineChars="198"/>
              <w:rPr>
                <w:rFonts w:ascii="仿宋_GB2312" w:hAnsi="宋体" w:eastAsia="仿宋_GB2312"/>
                <w:sz w:val="24"/>
              </w:rPr>
            </w:pPr>
            <w:r>
              <w:rPr>
                <w:rFonts w:hint="eastAsia" w:ascii="仿宋_GB2312" w:hAnsi="宋体" w:eastAsia="仿宋_GB2312"/>
                <w:sz w:val="24"/>
              </w:rPr>
              <w:t>协议书中相关词语的含义与通用条件中的定义与解释相同。</w:t>
            </w:r>
          </w:p>
          <w:p>
            <w:pPr>
              <w:adjustRightInd w:val="0"/>
              <w:snapToGrid w:val="0"/>
              <w:spacing w:line="360" w:lineRule="auto"/>
              <w:ind w:firstLine="477" w:firstLineChars="198"/>
              <w:outlineLvl w:val="0"/>
              <w:rPr>
                <w:rFonts w:ascii="仿宋_GB2312" w:hAnsi="宋体" w:eastAsia="仿宋_GB2312"/>
                <w:b/>
                <w:sz w:val="24"/>
              </w:rPr>
            </w:pPr>
            <w:bookmarkStart w:id="10" w:name="_Toc468553684"/>
            <w:bookmarkStart w:id="11" w:name="_Toc24420"/>
            <w:bookmarkStart w:id="12" w:name="_Toc570"/>
            <w:bookmarkStart w:id="13" w:name="_Toc13868"/>
            <w:r>
              <w:rPr>
                <w:rFonts w:hint="eastAsia" w:ascii="仿宋_GB2312" w:hAnsi="宋体" w:eastAsia="仿宋_GB2312"/>
                <w:b/>
                <w:sz w:val="24"/>
              </w:rPr>
              <w:t>三、组成本合同的文件</w:t>
            </w:r>
            <w:bookmarkEnd w:id="10"/>
            <w:bookmarkEnd w:id="11"/>
            <w:bookmarkEnd w:id="12"/>
            <w:bookmarkEnd w:id="13"/>
          </w:p>
          <w:p>
            <w:pPr>
              <w:adjustRightInd w:val="0"/>
              <w:snapToGrid w:val="0"/>
              <w:spacing w:line="360" w:lineRule="auto"/>
              <w:ind w:firstLine="475" w:firstLineChars="198"/>
              <w:rPr>
                <w:rFonts w:ascii="仿宋_GB2312" w:hAnsi="宋体" w:eastAsia="仿宋_GB2312"/>
                <w:sz w:val="24"/>
              </w:rPr>
            </w:pPr>
            <w:r>
              <w:rPr>
                <w:rFonts w:hint="eastAsia" w:ascii="仿宋_GB2312" w:hAnsi="宋体" w:eastAsia="仿宋_GB2312"/>
                <w:sz w:val="24"/>
              </w:rPr>
              <w:t>1. 合同协议书；</w:t>
            </w:r>
          </w:p>
          <w:p>
            <w:pPr>
              <w:adjustRightInd w:val="0"/>
              <w:snapToGrid w:val="0"/>
              <w:spacing w:line="360" w:lineRule="auto"/>
              <w:ind w:firstLine="475" w:firstLineChars="198"/>
              <w:rPr>
                <w:rFonts w:ascii="仿宋_GB2312" w:hAnsi="宋体" w:eastAsia="仿宋_GB2312"/>
                <w:sz w:val="24"/>
              </w:rPr>
            </w:pPr>
            <w:r>
              <w:rPr>
                <w:rFonts w:hint="eastAsia" w:ascii="仿宋_GB2312" w:hAnsi="宋体" w:eastAsia="仿宋_GB2312"/>
                <w:sz w:val="24"/>
              </w:rPr>
              <w:t>2. 中标通知书；</w:t>
            </w:r>
          </w:p>
          <w:p>
            <w:pPr>
              <w:adjustRightInd w:val="0"/>
              <w:snapToGrid w:val="0"/>
              <w:spacing w:line="360" w:lineRule="auto"/>
              <w:ind w:firstLine="475" w:firstLineChars="198"/>
              <w:rPr>
                <w:rFonts w:ascii="仿宋_GB2312" w:hAnsi="宋体" w:eastAsia="仿宋_GB2312"/>
                <w:sz w:val="24"/>
              </w:rPr>
            </w:pPr>
            <w:r>
              <w:rPr>
                <w:rFonts w:hint="eastAsia" w:ascii="仿宋_GB2312" w:hAnsi="宋体" w:eastAsia="仿宋_GB2312"/>
                <w:sz w:val="24"/>
              </w:rPr>
              <w:t>3. 投标文件及其附件；</w:t>
            </w:r>
          </w:p>
          <w:p>
            <w:pPr>
              <w:adjustRightInd w:val="0"/>
              <w:snapToGrid w:val="0"/>
              <w:spacing w:line="360" w:lineRule="auto"/>
              <w:ind w:firstLine="475" w:firstLineChars="198"/>
              <w:rPr>
                <w:rFonts w:ascii="仿宋_GB2312" w:hAnsi="宋体" w:eastAsia="仿宋_GB2312"/>
                <w:sz w:val="24"/>
              </w:rPr>
            </w:pPr>
            <w:r>
              <w:rPr>
                <w:rFonts w:hint="eastAsia" w:ascii="仿宋_GB2312" w:hAnsi="宋体" w:eastAsia="仿宋_GB2312"/>
                <w:sz w:val="24"/>
              </w:rPr>
              <w:t>4. 招标文件及补遗；</w:t>
            </w:r>
          </w:p>
          <w:p>
            <w:pPr>
              <w:adjustRightInd w:val="0"/>
              <w:snapToGrid w:val="0"/>
              <w:spacing w:line="360" w:lineRule="auto"/>
              <w:ind w:firstLine="475" w:firstLineChars="198"/>
              <w:rPr>
                <w:rFonts w:ascii="仿宋_GB2312" w:hAnsi="宋体" w:eastAsia="仿宋_GB2312"/>
                <w:sz w:val="24"/>
              </w:rPr>
            </w:pPr>
            <w:r>
              <w:rPr>
                <w:rFonts w:hint="eastAsia" w:ascii="仿宋_GB2312" w:hAnsi="宋体" w:eastAsia="仿宋_GB2312"/>
                <w:sz w:val="24"/>
              </w:rPr>
              <w:t>6. 合同条件；</w:t>
            </w:r>
          </w:p>
          <w:p>
            <w:pPr>
              <w:adjustRightInd w:val="0"/>
              <w:snapToGrid w:val="0"/>
              <w:spacing w:line="360" w:lineRule="auto"/>
              <w:ind w:firstLine="475" w:firstLineChars="198"/>
              <w:rPr>
                <w:rFonts w:ascii="仿宋_GB2312" w:hAnsi="宋体" w:eastAsia="仿宋_GB2312"/>
                <w:sz w:val="24"/>
              </w:rPr>
            </w:pPr>
            <w:r>
              <w:rPr>
                <w:rFonts w:hint="eastAsia" w:ascii="仿宋_GB2312" w:hAnsi="宋体" w:eastAsia="仿宋_GB2312"/>
                <w:sz w:val="24"/>
              </w:rPr>
              <w:t>7. 双方有关项目全过程工程咨询的洽商、变更等书面协议或文件；</w:t>
            </w:r>
          </w:p>
          <w:p>
            <w:pPr>
              <w:adjustRightInd w:val="0"/>
              <w:snapToGrid w:val="0"/>
              <w:spacing w:line="360" w:lineRule="auto"/>
              <w:ind w:firstLine="475" w:firstLineChars="198"/>
              <w:rPr>
                <w:rFonts w:ascii="仿宋_GB2312" w:hAnsi="宋体" w:eastAsia="仿宋_GB2312"/>
                <w:sz w:val="24"/>
              </w:rPr>
            </w:pPr>
            <w:r>
              <w:rPr>
                <w:rFonts w:hint="eastAsia" w:ascii="仿宋_GB2312" w:hAnsi="宋体" w:eastAsia="仿宋_GB2312"/>
                <w:sz w:val="24"/>
              </w:rPr>
              <w:t>8. 标准、规范及有关技术文件。</w:t>
            </w:r>
          </w:p>
          <w:p>
            <w:pPr>
              <w:adjustRightInd w:val="0"/>
              <w:snapToGrid w:val="0"/>
              <w:spacing w:line="360" w:lineRule="auto"/>
              <w:ind w:firstLine="477" w:firstLineChars="198"/>
              <w:outlineLvl w:val="0"/>
              <w:rPr>
                <w:rFonts w:ascii="仿宋_GB2312" w:hAnsi="宋体" w:eastAsia="仿宋_GB2312"/>
                <w:b/>
                <w:sz w:val="24"/>
              </w:rPr>
            </w:pPr>
            <w:bookmarkStart w:id="14" w:name="_Toc468553685"/>
            <w:bookmarkStart w:id="15" w:name="_Toc10617"/>
            <w:bookmarkStart w:id="16" w:name="_Toc8358"/>
            <w:bookmarkStart w:id="17" w:name="_Toc18380"/>
            <w:r>
              <w:rPr>
                <w:rFonts w:hint="eastAsia" w:ascii="仿宋_GB2312" w:hAnsi="宋体" w:eastAsia="仿宋_GB2312"/>
                <w:b/>
                <w:sz w:val="24"/>
              </w:rPr>
              <w:t>四、项目主要负责人</w:t>
            </w:r>
            <w:bookmarkEnd w:id="14"/>
            <w:bookmarkEnd w:id="15"/>
            <w:bookmarkEnd w:id="16"/>
            <w:bookmarkEnd w:id="17"/>
          </w:p>
          <w:p>
            <w:pPr>
              <w:adjustRightInd w:val="0"/>
              <w:snapToGrid w:val="0"/>
              <w:spacing w:line="360" w:lineRule="auto"/>
              <w:ind w:firstLine="475" w:firstLineChars="198"/>
              <w:rPr>
                <w:rFonts w:ascii="仿宋_GB2312" w:hAnsi="宋体" w:eastAsia="仿宋_GB2312"/>
                <w:kern w:val="0"/>
                <w:sz w:val="24"/>
              </w:rPr>
            </w:pPr>
            <w:r>
              <w:rPr>
                <w:rFonts w:hint="eastAsia" w:ascii="仿宋_GB2312" w:hAnsi="宋体" w:eastAsia="仿宋_GB2312" w:cs="宋体"/>
                <w:sz w:val="24"/>
              </w:rPr>
              <w:t xml:space="preserve">项目总负责人        </w:t>
            </w:r>
            <w:r>
              <w:rPr>
                <w:rFonts w:hint="eastAsia" w:ascii="仿宋_GB2312" w:hAnsi="宋体" w:eastAsia="仿宋_GB2312"/>
                <w:kern w:val="0"/>
                <w:sz w:val="24"/>
              </w:rPr>
              <w:t>姓名：</w:t>
            </w:r>
            <w:r>
              <w:rPr>
                <w:rFonts w:hint="eastAsia" w:ascii="仿宋_GB2312" w:hAnsi="宋体" w:eastAsia="仿宋_GB2312"/>
                <w:b/>
                <w:sz w:val="24"/>
                <w:u w:val="single"/>
              </w:rPr>
              <w:t xml:space="preserve">        </w:t>
            </w:r>
            <w:r>
              <w:rPr>
                <w:rFonts w:hint="eastAsia" w:ascii="仿宋_GB2312" w:hAnsi="宋体" w:eastAsia="仿宋_GB2312"/>
                <w:kern w:val="0"/>
                <w:sz w:val="24"/>
              </w:rPr>
              <w:t>，身份证号码：</w:t>
            </w:r>
            <w:r>
              <w:rPr>
                <w:rFonts w:hint="eastAsia" w:ascii="仿宋_GB2312" w:hAnsi="宋体" w:eastAsia="仿宋_GB2312"/>
                <w:b/>
                <w:sz w:val="24"/>
                <w:u w:val="single"/>
              </w:rPr>
              <w:t xml:space="preserve">              </w:t>
            </w:r>
            <w:r>
              <w:rPr>
                <w:rFonts w:hint="eastAsia" w:ascii="仿宋_GB2312" w:hAnsi="宋体" w:eastAsia="仿宋_GB2312"/>
                <w:kern w:val="0"/>
                <w:sz w:val="24"/>
              </w:rPr>
              <w:t>；</w:t>
            </w:r>
          </w:p>
          <w:p>
            <w:pPr>
              <w:adjustRightInd w:val="0"/>
              <w:snapToGrid w:val="0"/>
              <w:spacing w:line="360" w:lineRule="auto"/>
              <w:ind w:firstLine="475" w:firstLineChars="198"/>
              <w:rPr>
                <w:rFonts w:ascii="仿宋_GB2312" w:hAnsi="宋体" w:eastAsia="仿宋_GB2312"/>
                <w:kern w:val="0"/>
                <w:sz w:val="24"/>
              </w:rPr>
            </w:pPr>
            <w:r>
              <w:rPr>
                <w:rFonts w:hint="eastAsia" w:ascii="仿宋_GB2312" w:hAnsi="宋体" w:eastAsia="仿宋_GB2312"/>
                <w:kern w:val="0"/>
                <w:sz w:val="24"/>
              </w:rPr>
              <w:t>设计管理负责人      姓名：</w:t>
            </w:r>
            <w:r>
              <w:rPr>
                <w:rFonts w:hint="eastAsia" w:ascii="仿宋_GB2312" w:hAnsi="宋体" w:eastAsia="仿宋_GB2312"/>
                <w:b/>
                <w:sz w:val="24"/>
                <w:u w:val="single"/>
              </w:rPr>
              <w:t xml:space="preserve">        </w:t>
            </w:r>
            <w:r>
              <w:rPr>
                <w:rFonts w:hint="eastAsia" w:ascii="仿宋_GB2312" w:hAnsi="宋体" w:eastAsia="仿宋_GB2312"/>
                <w:kern w:val="0"/>
                <w:sz w:val="24"/>
              </w:rPr>
              <w:t>，身份证号码：</w:t>
            </w:r>
            <w:r>
              <w:rPr>
                <w:rFonts w:hint="eastAsia" w:ascii="仿宋_GB2312" w:hAnsi="宋体" w:eastAsia="仿宋_GB2312"/>
                <w:b/>
                <w:sz w:val="24"/>
                <w:u w:val="single"/>
              </w:rPr>
              <w:t xml:space="preserve">              </w:t>
            </w:r>
            <w:r>
              <w:rPr>
                <w:rFonts w:hint="eastAsia" w:ascii="仿宋_GB2312" w:hAnsi="宋体" w:eastAsia="仿宋_GB2312"/>
                <w:kern w:val="0"/>
                <w:sz w:val="24"/>
              </w:rPr>
              <w:t>；</w:t>
            </w:r>
          </w:p>
          <w:p>
            <w:pPr>
              <w:adjustRightInd w:val="0"/>
              <w:snapToGrid w:val="0"/>
              <w:spacing w:line="360" w:lineRule="auto"/>
              <w:ind w:firstLine="475" w:firstLineChars="198"/>
              <w:rPr>
                <w:rFonts w:ascii="仿宋_GB2312" w:hAnsi="宋体" w:eastAsia="仿宋_GB2312"/>
                <w:kern w:val="0"/>
                <w:sz w:val="24"/>
              </w:rPr>
            </w:pPr>
            <w:r>
              <w:rPr>
                <w:rFonts w:hint="eastAsia" w:ascii="仿宋_GB2312" w:hAnsi="宋体" w:eastAsia="仿宋_GB2312"/>
                <w:kern w:val="0"/>
                <w:sz w:val="24"/>
              </w:rPr>
              <w:t>总监理工程师        姓名：</w:t>
            </w:r>
            <w:r>
              <w:rPr>
                <w:rFonts w:hint="eastAsia" w:ascii="仿宋_GB2312" w:hAnsi="宋体" w:eastAsia="仿宋_GB2312"/>
                <w:b/>
                <w:sz w:val="24"/>
                <w:u w:val="single"/>
              </w:rPr>
              <w:t xml:space="preserve">         </w:t>
            </w:r>
            <w:r>
              <w:rPr>
                <w:rFonts w:hint="eastAsia" w:ascii="仿宋_GB2312" w:hAnsi="宋体" w:eastAsia="仿宋_GB2312"/>
                <w:kern w:val="0"/>
                <w:sz w:val="24"/>
              </w:rPr>
              <w:t>，身份证号码：</w:t>
            </w:r>
            <w:r>
              <w:rPr>
                <w:rFonts w:hint="eastAsia" w:ascii="仿宋_GB2312" w:hAnsi="宋体" w:eastAsia="仿宋_GB2312"/>
                <w:b/>
                <w:sz w:val="24"/>
                <w:u w:val="single"/>
              </w:rPr>
              <w:t xml:space="preserve">              </w:t>
            </w:r>
            <w:r>
              <w:rPr>
                <w:rFonts w:hint="eastAsia" w:ascii="仿宋_GB2312" w:hAnsi="宋体" w:eastAsia="仿宋_GB2312"/>
                <w:kern w:val="0"/>
                <w:sz w:val="24"/>
              </w:rPr>
              <w:t>；</w:t>
            </w:r>
          </w:p>
          <w:p>
            <w:pPr>
              <w:adjustRightInd w:val="0"/>
              <w:snapToGrid w:val="0"/>
              <w:spacing w:line="360" w:lineRule="auto"/>
              <w:ind w:firstLine="475" w:firstLineChars="198"/>
              <w:rPr>
                <w:rFonts w:ascii="仿宋_GB2312" w:hAnsi="宋体" w:eastAsia="仿宋_GB2312"/>
                <w:kern w:val="0"/>
                <w:sz w:val="24"/>
              </w:rPr>
            </w:pPr>
            <w:r>
              <w:rPr>
                <w:rFonts w:hint="eastAsia" w:ascii="仿宋_GB2312" w:hAnsi="宋体" w:eastAsia="仿宋_GB2312"/>
                <w:kern w:val="0"/>
                <w:sz w:val="24"/>
              </w:rPr>
              <w:t>造价咨询管理负责人  姓名：</w:t>
            </w:r>
            <w:r>
              <w:rPr>
                <w:rFonts w:hint="eastAsia" w:ascii="仿宋_GB2312" w:hAnsi="宋体" w:eastAsia="仿宋_GB2312"/>
                <w:b/>
                <w:sz w:val="24"/>
                <w:u w:val="single"/>
              </w:rPr>
              <w:t xml:space="preserve">         </w:t>
            </w:r>
            <w:r>
              <w:rPr>
                <w:rFonts w:hint="eastAsia" w:ascii="仿宋_GB2312" w:hAnsi="宋体" w:eastAsia="仿宋_GB2312"/>
                <w:kern w:val="0"/>
                <w:sz w:val="24"/>
              </w:rPr>
              <w:t>，身份证号码：</w:t>
            </w:r>
            <w:r>
              <w:rPr>
                <w:rFonts w:hint="eastAsia" w:ascii="仿宋_GB2312" w:hAnsi="宋体" w:eastAsia="仿宋_GB2312"/>
                <w:b/>
                <w:sz w:val="24"/>
                <w:u w:val="single"/>
              </w:rPr>
              <w:t xml:space="preserve">              </w:t>
            </w:r>
            <w:r>
              <w:rPr>
                <w:rFonts w:hint="eastAsia" w:ascii="仿宋_GB2312" w:hAnsi="宋体" w:eastAsia="仿宋_GB2312"/>
                <w:kern w:val="0"/>
                <w:sz w:val="24"/>
              </w:rPr>
              <w:t xml:space="preserve">； </w:t>
            </w:r>
          </w:p>
          <w:p>
            <w:pPr>
              <w:adjustRightInd w:val="0"/>
              <w:snapToGrid w:val="0"/>
              <w:spacing w:line="360" w:lineRule="auto"/>
              <w:ind w:firstLine="482" w:firstLineChars="200"/>
              <w:outlineLvl w:val="0"/>
              <w:rPr>
                <w:rFonts w:ascii="仿宋_GB2312" w:hAnsi="宋体" w:eastAsia="仿宋_GB2312"/>
                <w:b/>
                <w:sz w:val="24"/>
              </w:rPr>
            </w:pPr>
            <w:bookmarkStart w:id="18" w:name="_Toc15385"/>
            <w:bookmarkStart w:id="19" w:name="_Toc12639"/>
            <w:bookmarkStart w:id="20" w:name="_Toc5611"/>
            <w:bookmarkStart w:id="21" w:name="_Toc468553686"/>
            <w:r>
              <w:rPr>
                <w:rFonts w:hint="eastAsia" w:ascii="仿宋_GB2312" w:hAnsi="宋体" w:eastAsia="仿宋_GB2312"/>
                <w:b/>
                <w:sz w:val="24"/>
              </w:rPr>
              <w:t>五、</w:t>
            </w:r>
            <w:bookmarkEnd w:id="18"/>
            <w:bookmarkEnd w:id="19"/>
            <w:bookmarkEnd w:id="20"/>
            <w:bookmarkEnd w:id="21"/>
            <w:r>
              <w:rPr>
                <w:rFonts w:hint="eastAsia" w:ascii="仿宋_GB2312" w:hAnsi="宋体" w:eastAsia="仿宋_GB2312"/>
                <w:b/>
                <w:sz w:val="24"/>
              </w:rPr>
              <w:t>合同费用及支付</w:t>
            </w:r>
          </w:p>
          <w:p>
            <w:pPr>
              <w:spacing w:before="62" w:beforeLines="20" w:after="62" w:afterLines="20"/>
              <w:ind w:firstLine="480" w:firstLineChars="200"/>
              <w:jc w:val="left"/>
              <w:rPr>
                <w:rFonts w:hint="eastAsia" w:ascii="仿宋_GB2312" w:hAnsi="宋体" w:eastAsia="仿宋_GB2312"/>
                <w:b/>
                <w:sz w:val="24"/>
                <w:u w:val="single"/>
              </w:rPr>
            </w:pPr>
            <w:r>
              <w:rPr>
                <w:rFonts w:hint="eastAsia" w:ascii="仿宋_GB2312" w:hAnsi="宋体" w:eastAsia="仿宋_GB2312"/>
                <w:sz w:val="24"/>
              </w:rPr>
              <w:t>1.合同价为人民币（大写）：</w:t>
            </w:r>
            <w:r>
              <w:rPr>
                <w:rFonts w:hint="eastAsia" w:ascii="仿宋_GB2312" w:hAnsi="宋体" w:eastAsia="仿宋_GB2312"/>
                <w:b/>
                <w:sz w:val="24"/>
                <w:u w:val="single"/>
              </w:rPr>
              <w:t xml:space="preserve">          （小写：¥       万元）</w:t>
            </w:r>
          </w:p>
          <w:p>
            <w:pPr>
              <w:spacing w:before="62" w:beforeLines="20" w:after="62" w:afterLines="20"/>
              <w:ind w:firstLine="480" w:firstLineChars="200"/>
              <w:jc w:val="left"/>
              <w:rPr>
                <w:rFonts w:ascii="仿宋_GB2312" w:hAnsi="宋体" w:eastAsia="仿宋_GB2312"/>
                <w:sz w:val="24"/>
              </w:rPr>
            </w:pPr>
            <w:bookmarkStart w:id="22" w:name="_Toc28048"/>
            <w:bookmarkStart w:id="23" w:name="_Toc468553687"/>
            <w:bookmarkStart w:id="24" w:name="_Toc2036"/>
            <w:bookmarkStart w:id="25" w:name="_Toc14578"/>
            <w:r>
              <w:rPr>
                <w:rFonts w:hint="eastAsia" w:ascii="仿宋_GB2312" w:hAnsi="宋体" w:eastAsia="仿宋_GB2312"/>
                <w:sz w:val="24"/>
              </w:rPr>
              <w:t>2.费用支付，按项目节点分阶段支付。</w:t>
            </w:r>
          </w:p>
          <w:p>
            <w:pPr>
              <w:jc w:val="left"/>
            </w:pPr>
            <w:r>
              <w:rPr>
                <w:rFonts w:hint="eastAsia" w:ascii="仿宋_GB2312" w:hAnsi="宋体" w:eastAsia="仿宋_GB2312"/>
                <w:sz w:val="24"/>
              </w:rPr>
              <w:t>（1）咨询合同签订后，完成项目施工</w:t>
            </w:r>
            <w:r>
              <w:rPr>
                <w:rFonts w:hint="eastAsia" w:ascii="仿宋_GB2312" w:hAnsi="宋体" w:eastAsia="仿宋_GB2312"/>
                <w:sz w:val="24"/>
                <w:lang w:val="en-US" w:eastAsia="zh-CN"/>
              </w:rPr>
              <w:t>管理</w:t>
            </w:r>
            <w:r>
              <w:rPr>
                <w:rFonts w:hint="eastAsia" w:ascii="仿宋_GB2312" w:hAnsi="宋体" w:eastAsia="仿宋_GB2312"/>
                <w:sz w:val="24"/>
              </w:rPr>
              <w:t xml:space="preserve">、监理人员进场、签发施工开工令后，支付合同价的 </w:t>
            </w:r>
            <w:r>
              <w:rPr>
                <w:rFonts w:hint="eastAsia" w:ascii="仿宋_GB2312" w:hAnsi="宋体" w:eastAsia="仿宋_GB2312"/>
                <w:sz w:val="24"/>
                <w:lang w:val="en-US" w:eastAsia="zh-CN"/>
              </w:rPr>
              <w:t>5</w:t>
            </w:r>
            <w:r>
              <w:rPr>
                <w:rFonts w:hint="eastAsia" w:ascii="仿宋_GB2312" w:hAnsi="宋体" w:eastAsia="仿宋_GB2312"/>
                <w:sz w:val="24"/>
              </w:rPr>
              <w:t>0 %。</w:t>
            </w:r>
          </w:p>
          <w:p>
            <w:pPr>
              <w:spacing w:before="62" w:beforeLines="20" w:after="62" w:afterLines="20"/>
              <w:jc w:val="left"/>
              <w:rPr>
                <w:rFonts w:ascii="仿宋_GB2312" w:hAnsi="宋体" w:eastAsia="仿宋_GB2312"/>
                <w:b/>
                <w:sz w:val="24"/>
              </w:rPr>
            </w:pPr>
            <w:r>
              <w:rPr>
                <w:rFonts w:hint="eastAsia" w:ascii="仿宋_GB2312" w:hAnsi="宋体" w:eastAsia="仿宋_GB2312"/>
                <w:sz w:val="24"/>
              </w:rPr>
              <w:t>（</w:t>
            </w:r>
            <w:r>
              <w:rPr>
                <w:rFonts w:hint="eastAsia" w:ascii="仿宋_GB2312" w:hAnsi="宋体" w:eastAsia="仿宋_GB2312"/>
                <w:sz w:val="24"/>
                <w:lang w:val="en-US" w:eastAsia="zh-CN"/>
              </w:rPr>
              <w:t>2</w:t>
            </w:r>
            <w:r>
              <w:rPr>
                <w:rFonts w:hint="eastAsia" w:ascii="仿宋_GB2312" w:hAnsi="宋体" w:eastAsia="仿宋_GB2312"/>
                <w:sz w:val="24"/>
              </w:rPr>
              <w:t>）招标人拟需进行的全过程工程咨询服务项目全部竣工验收完或所在工程经办人签字确认后，招标人支付至咨询服务费结算价的100%。</w:t>
            </w:r>
          </w:p>
          <w:p>
            <w:pPr>
              <w:adjustRightInd w:val="0"/>
              <w:snapToGrid w:val="0"/>
              <w:spacing w:line="360" w:lineRule="auto"/>
              <w:ind w:firstLine="482" w:firstLineChars="200"/>
              <w:outlineLvl w:val="0"/>
              <w:rPr>
                <w:rFonts w:ascii="仿宋_GB2312" w:hAnsi="宋体" w:eastAsia="仿宋_GB2312"/>
                <w:b/>
                <w:sz w:val="24"/>
              </w:rPr>
            </w:pPr>
            <w:r>
              <w:rPr>
                <w:rFonts w:hint="eastAsia" w:ascii="仿宋_GB2312" w:hAnsi="宋体" w:eastAsia="仿宋_GB2312"/>
                <w:b/>
                <w:sz w:val="24"/>
              </w:rPr>
              <w:t>六、服务期</w:t>
            </w:r>
            <w:bookmarkEnd w:id="22"/>
            <w:bookmarkEnd w:id="23"/>
            <w:bookmarkEnd w:id="24"/>
            <w:bookmarkEnd w:id="25"/>
          </w:p>
          <w:p>
            <w:pPr>
              <w:adjustRightInd w:val="0"/>
              <w:snapToGrid w:val="0"/>
              <w:spacing w:line="360" w:lineRule="auto"/>
              <w:ind w:firstLine="720" w:firstLineChars="300"/>
              <w:outlineLvl w:val="0"/>
              <w:rPr>
                <w:rFonts w:hint="eastAsia" w:ascii="仿宋_GB2312" w:hAnsi="宋体" w:eastAsia="仿宋_GB2312"/>
                <w:sz w:val="24"/>
              </w:rPr>
            </w:pPr>
            <w:r>
              <w:rPr>
                <w:rFonts w:hint="eastAsia" w:ascii="仿宋_GB2312" w:hAnsi="宋体" w:eastAsia="仿宋_GB2312"/>
                <w:sz w:val="24"/>
              </w:rPr>
              <w:t>全过程工程咨询服务期：为招标人发出中标通知书之日起至项目保修期满为止（保修期为项目通过验收后24个月）。</w:t>
            </w:r>
          </w:p>
          <w:p>
            <w:pPr>
              <w:adjustRightInd w:val="0"/>
              <w:snapToGrid w:val="0"/>
              <w:spacing w:line="360" w:lineRule="auto"/>
              <w:ind w:firstLine="477" w:firstLineChars="198"/>
              <w:outlineLvl w:val="0"/>
              <w:rPr>
                <w:rFonts w:ascii="仿宋_GB2312" w:hAnsi="宋体" w:eastAsia="仿宋_GB2312"/>
                <w:b/>
                <w:sz w:val="24"/>
              </w:rPr>
            </w:pPr>
            <w:bookmarkStart w:id="26" w:name="_Toc2443"/>
            <w:bookmarkStart w:id="27" w:name="_Toc468553689"/>
            <w:bookmarkStart w:id="28" w:name="_Toc15597"/>
            <w:bookmarkStart w:id="29" w:name="_Toc3105"/>
            <w:r>
              <w:rPr>
                <w:rFonts w:hint="eastAsia" w:ascii="仿宋_GB2312" w:hAnsi="宋体" w:eastAsia="仿宋_GB2312"/>
                <w:b/>
                <w:sz w:val="24"/>
              </w:rPr>
              <w:t>七、双方承诺</w:t>
            </w:r>
            <w:bookmarkEnd w:id="26"/>
            <w:bookmarkEnd w:id="27"/>
            <w:bookmarkEnd w:id="28"/>
            <w:bookmarkEnd w:id="29"/>
          </w:p>
          <w:p>
            <w:pPr>
              <w:adjustRightInd w:val="0"/>
              <w:snapToGrid w:val="0"/>
              <w:spacing w:line="360" w:lineRule="auto"/>
              <w:ind w:firstLine="480" w:firstLineChars="200"/>
              <w:outlineLvl w:val="0"/>
              <w:rPr>
                <w:rFonts w:ascii="仿宋_GB2312" w:hAnsi="宋体" w:eastAsia="仿宋_GB2312"/>
                <w:b/>
                <w:sz w:val="24"/>
              </w:rPr>
            </w:pPr>
            <w:bookmarkStart w:id="30" w:name="_Toc1695"/>
            <w:bookmarkStart w:id="31" w:name="_Toc9757"/>
            <w:bookmarkStart w:id="32" w:name="_Toc468553690"/>
            <w:bookmarkStart w:id="33" w:name="_Toc7403"/>
            <w:bookmarkStart w:id="34" w:name="_Toc21340"/>
            <w:r>
              <w:rPr>
                <w:rFonts w:hint="eastAsia" w:ascii="仿宋_GB2312" w:hAnsi="宋体" w:eastAsia="仿宋_GB2312"/>
                <w:sz w:val="24"/>
              </w:rPr>
              <w:t>1. 工程咨询单位向委托人承诺，按照本合同约定</w:t>
            </w:r>
            <w:r>
              <w:rPr>
                <w:rFonts w:hint="eastAsia" w:ascii="仿宋_GB2312" w:hAnsi="宋体" w:eastAsia="仿宋_GB2312"/>
                <w:kern w:val="0"/>
                <w:sz w:val="24"/>
              </w:rPr>
              <w:t>提供</w:t>
            </w:r>
            <w:r>
              <w:rPr>
                <w:rFonts w:hint="eastAsia" w:ascii="仿宋_GB2312" w:hAnsi="宋体" w:eastAsia="仿宋_GB2312"/>
                <w:sz w:val="24"/>
              </w:rPr>
              <w:t>工程咨询与相关服务。</w:t>
            </w:r>
            <w:bookmarkEnd w:id="30"/>
            <w:bookmarkEnd w:id="31"/>
            <w:bookmarkEnd w:id="32"/>
            <w:bookmarkEnd w:id="33"/>
            <w:bookmarkEnd w:id="34"/>
          </w:p>
          <w:p>
            <w:pPr>
              <w:adjustRightInd w:val="0"/>
              <w:snapToGrid w:val="0"/>
              <w:spacing w:line="360" w:lineRule="auto"/>
              <w:ind w:firstLine="480" w:firstLineChars="200"/>
              <w:outlineLvl w:val="0"/>
              <w:rPr>
                <w:rFonts w:ascii="仿宋_GB2312" w:hAnsi="宋体" w:eastAsia="仿宋_GB2312"/>
                <w:sz w:val="24"/>
              </w:rPr>
            </w:pPr>
            <w:bookmarkStart w:id="35" w:name="_Toc32735"/>
            <w:bookmarkStart w:id="36" w:name="_Toc13817"/>
            <w:bookmarkStart w:id="37" w:name="_Toc468553691"/>
            <w:bookmarkStart w:id="38" w:name="_Toc29071"/>
            <w:bookmarkStart w:id="39" w:name="_Toc21670"/>
            <w:r>
              <w:rPr>
                <w:rFonts w:hint="eastAsia" w:ascii="仿宋_GB2312" w:hAnsi="宋体" w:eastAsia="仿宋_GB2312"/>
                <w:sz w:val="24"/>
              </w:rPr>
              <w:t>2. 委托人向工程咨询单位承诺，按照本合同约定提供相关管理资料并支付费用。</w:t>
            </w:r>
            <w:bookmarkEnd w:id="35"/>
            <w:bookmarkEnd w:id="36"/>
            <w:bookmarkEnd w:id="37"/>
            <w:bookmarkEnd w:id="38"/>
            <w:bookmarkEnd w:id="39"/>
          </w:p>
          <w:p>
            <w:pPr>
              <w:adjustRightInd w:val="0"/>
              <w:snapToGrid w:val="0"/>
              <w:spacing w:line="360" w:lineRule="auto"/>
              <w:ind w:firstLine="477" w:firstLineChars="198"/>
              <w:outlineLvl w:val="0"/>
              <w:rPr>
                <w:rFonts w:ascii="仿宋_GB2312" w:hAnsi="宋体" w:eastAsia="仿宋_GB2312"/>
                <w:b/>
                <w:sz w:val="24"/>
              </w:rPr>
            </w:pPr>
            <w:bookmarkStart w:id="40" w:name="_Toc3100"/>
            <w:bookmarkStart w:id="41" w:name="_Toc468553692"/>
            <w:r>
              <w:rPr>
                <w:rFonts w:hint="eastAsia" w:ascii="仿宋_GB2312" w:hAnsi="宋体" w:eastAsia="仿宋_GB2312"/>
                <w:b/>
                <w:sz w:val="24"/>
              </w:rPr>
              <w:t>八、合同份数</w:t>
            </w:r>
            <w:bookmarkEnd w:id="40"/>
            <w:bookmarkEnd w:id="41"/>
          </w:p>
          <w:p>
            <w:pPr>
              <w:adjustRightInd w:val="0"/>
              <w:snapToGrid w:val="0"/>
              <w:spacing w:line="300" w:lineRule="auto"/>
              <w:ind w:firstLine="480" w:firstLineChars="200"/>
              <w:rPr>
                <w:rFonts w:ascii="仿宋_GB2312" w:hAnsi="宋体" w:eastAsia="仿宋_GB2312"/>
                <w:sz w:val="24"/>
              </w:rPr>
            </w:pP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b/>
                <w:sz w:val="24"/>
                <w:u w:val="single"/>
              </w:rPr>
              <w:t xml:space="preserve">壹拾贰 </w:t>
            </w:r>
            <w:r>
              <w:rPr>
                <w:rFonts w:hint="eastAsia" w:ascii="仿宋_GB2312" w:hAnsi="宋体" w:eastAsia="仿宋_GB2312"/>
                <w:sz w:val="24"/>
              </w:rPr>
              <w:t>份，正本</w:t>
            </w:r>
            <w:r>
              <w:rPr>
                <w:rFonts w:hint="eastAsia" w:ascii="仿宋_GB2312" w:hAnsi="宋体" w:eastAsia="仿宋_GB2312"/>
                <w:sz w:val="24"/>
                <w:u w:val="single"/>
              </w:rPr>
              <w:t xml:space="preserve"> </w:t>
            </w:r>
            <w:r>
              <w:rPr>
                <w:rFonts w:hint="eastAsia" w:ascii="仿宋_GB2312" w:hAnsi="宋体" w:eastAsia="仿宋_GB2312"/>
                <w:b/>
                <w:sz w:val="24"/>
                <w:u w:val="single"/>
              </w:rPr>
              <w:t xml:space="preserve">贰 </w:t>
            </w:r>
            <w:r>
              <w:rPr>
                <w:rFonts w:hint="eastAsia" w:ascii="仿宋_GB2312" w:hAnsi="宋体" w:eastAsia="仿宋_GB2312"/>
                <w:sz w:val="24"/>
              </w:rPr>
              <w:t>份，委托人</w:t>
            </w:r>
            <w:r>
              <w:rPr>
                <w:rFonts w:hint="eastAsia" w:ascii="仿宋_GB2312" w:hAnsi="宋体" w:eastAsia="仿宋_GB2312"/>
                <w:sz w:val="24"/>
                <w:u w:val="single"/>
              </w:rPr>
              <w:t xml:space="preserve"> </w:t>
            </w:r>
            <w:r>
              <w:rPr>
                <w:rFonts w:hint="eastAsia" w:ascii="仿宋_GB2312" w:hAnsi="宋体" w:eastAsia="仿宋_GB2312"/>
                <w:b/>
                <w:sz w:val="24"/>
                <w:u w:val="single"/>
              </w:rPr>
              <w:t xml:space="preserve">壹 </w:t>
            </w:r>
            <w:r>
              <w:rPr>
                <w:rFonts w:hint="eastAsia" w:ascii="仿宋_GB2312" w:hAnsi="宋体" w:eastAsia="仿宋_GB2312"/>
                <w:sz w:val="24"/>
              </w:rPr>
              <w:t>份，工程咨询单位</w:t>
            </w:r>
            <w:r>
              <w:rPr>
                <w:rFonts w:hint="eastAsia" w:ascii="仿宋_GB2312" w:hAnsi="宋体" w:eastAsia="仿宋_GB2312"/>
                <w:sz w:val="24"/>
                <w:u w:val="single"/>
              </w:rPr>
              <w:t xml:space="preserve"> </w:t>
            </w:r>
            <w:r>
              <w:rPr>
                <w:rFonts w:hint="eastAsia" w:ascii="仿宋_GB2312" w:hAnsi="宋体" w:eastAsia="仿宋_GB2312"/>
                <w:b/>
                <w:sz w:val="24"/>
                <w:u w:val="single"/>
              </w:rPr>
              <w:t xml:space="preserve">壹 </w:t>
            </w:r>
            <w:r>
              <w:rPr>
                <w:rFonts w:hint="eastAsia" w:ascii="仿宋_GB2312" w:hAnsi="宋体" w:eastAsia="仿宋_GB2312"/>
                <w:sz w:val="24"/>
              </w:rPr>
              <w:t>份；副本</w:t>
            </w:r>
            <w:r>
              <w:rPr>
                <w:rFonts w:hint="eastAsia" w:ascii="仿宋_GB2312" w:hAnsi="宋体" w:eastAsia="仿宋_GB2312"/>
                <w:b/>
                <w:sz w:val="24"/>
                <w:u w:val="single"/>
              </w:rPr>
              <w:t>拾</w:t>
            </w:r>
            <w:r>
              <w:rPr>
                <w:rFonts w:hint="eastAsia" w:ascii="仿宋_GB2312" w:hAnsi="宋体" w:eastAsia="仿宋_GB2312"/>
                <w:sz w:val="24"/>
                <w:u w:val="single"/>
              </w:rPr>
              <w:t xml:space="preserve"> </w:t>
            </w:r>
            <w:r>
              <w:rPr>
                <w:rFonts w:hint="eastAsia" w:ascii="仿宋_GB2312" w:hAnsi="宋体" w:eastAsia="仿宋_GB2312"/>
                <w:sz w:val="24"/>
              </w:rPr>
              <w:t>份，委托人</w:t>
            </w:r>
            <w:r>
              <w:rPr>
                <w:rFonts w:hint="eastAsia" w:ascii="仿宋_GB2312" w:hAnsi="宋体" w:eastAsia="仿宋_GB2312"/>
                <w:sz w:val="24"/>
                <w:u w:val="single"/>
              </w:rPr>
              <w:t xml:space="preserve"> </w:t>
            </w:r>
            <w:r>
              <w:rPr>
                <w:rFonts w:hint="eastAsia" w:ascii="仿宋_GB2312" w:hAnsi="宋体" w:eastAsia="仿宋_GB2312"/>
                <w:b/>
                <w:sz w:val="24"/>
                <w:u w:val="single"/>
              </w:rPr>
              <w:t xml:space="preserve">陆 </w:t>
            </w:r>
            <w:r>
              <w:rPr>
                <w:rFonts w:hint="eastAsia" w:ascii="仿宋_GB2312" w:hAnsi="宋体" w:eastAsia="仿宋_GB2312"/>
                <w:sz w:val="24"/>
              </w:rPr>
              <w:t>份，工程咨询单位</w:t>
            </w:r>
            <w:r>
              <w:rPr>
                <w:rFonts w:hint="eastAsia" w:ascii="仿宋_GB2312" w:hAnsi="宋体" w:eastAsia="仿宋_GB2312"/>
                <w:sz w:val="24"/>
                <w:u w:val="single"/>
              </w:rPr>
              <w:t xml:space="preserve"> </w:t>
            </w:r>
            <w:r>
              <w:rPr>
                <w:rFonts w:hint="eastAsia" w:ascii="仿宋_GB2312" w:hAnsi="宋体" w:eastAsia="仿宋_GB2312"/>
                <w:b/>
                <w:sz w:val="24"/>
                <w:u w:val="single"/>
              </w:rPr>
              <w:t>肆</w:t>
            </w:r>
            <w:r>
              <w:rPr>
                <w:rFonts w:hint="eastAsia" w:ascii="仿宋_GB2312" w:hAnsi="宋体" w:eastAsia="仿宋_GB2312"/>
                <w:sz w:val="24"/>
                <w:u w:val="single"/>
              </w:rPr>
              <w:t xml:space="preserve"> </w:t>
            </w:r>
            <w:r>
              <w:rPr>
                <w:rFonts w:hint="eastAsia" w:ascii="仿宋_GB2312" w:hAnsi="宋体" w:eastAsia="仿宋_GB2312"/>
                <w:sz w:val="24"/>
              </w:rPr>
              <w:t>份。</w:t>
            </w:r>
          </w:p>
          <w:p>
            <w:pPr>
              <w:adjustRightInd w:val="0"/>
              <w:snapToGrid w:val="0"/>
              <w:spacing w:line="360" w:lineRule="auto"/>
              <w:ind w:firstLine="477" w:firstLineChars="198"/>
              <w:outlineLvl w:val="0"/>
              <w:rPr>
                <w:rFonts w:ascii="仿宋_GB2312" w:hAnsi="宋体" w:eastAsia="仿宋_GB2312"/>
                <w:b/>
                <w:sz w:val="24"/>
              </w:rPr>
            </w:pPr>
            <w:bookmarkStart w:id="42" w:name="_Toc468553693"/>
            <w:bookmarkStart w:id="43" w:name="_Toc5458"/>
            <w:r>
              <w:rPr>
                <w:rFonts w:hint="eastAsia" w:ascii="仿宋_GB2312" w:hAnsi="宋体" w:eastAsia="仿宋_GB2312"/>
                <w:b/>
                <w:sz w:val="24"/>
              </w:rPr>
              <w:t>九、合同生效</w:t>
            </w:r>
            <w:bookmarkEnd w:id="42"/>
            <w:bookmarkEnd w:id="43"/>
          </w:p>
          <w:p>
            <w:pPr>
              <w:adjustRightInd w:val="0"/>
              <w:snapToGrid w:val="0"/>
              <w:spacing w:line="300" w:lineRule="auto"/>
              <w:ind w:firstLine="480" w:firstLineChars="200"/>
              <w:rPr>
                <w:rFonts w:ascii="仿宋_GB2312" w:hAnsi="宋体" w:eastAsia="仿宋_GB2312"/>
                <w:sz w:val="24"/>
              </w:rPr>
            </w:pPr>
            <w:r>
              <w:rPr>
                <w:rFonts w:hint="eastAsia" w:ascii="仿宋_GB2312" w:hAnsi="宋体" w:eastAsia="仿宋_GB2312"/>
                <w:sz w:val="24"/>
              </w:rPr>
              <w:t>合同签订时间：</w:t>
            </w:r>
            <w:r>
              <w:rPr>
                <w:rFonts w:hint="eastAsia" w:ascii="仿宋_GB2312" w:hAnsi="宋体" w:eastAsia="仿宋_GB2312"/>
                <w:sz w:val="24"/>
                <w:u w:val="single"/>
              </w:rPr>
              <w:t xml:space="preserve">                      </w:t>
            </w:r>
          </w:p>
          <w:p>
            <w:pPr>
              <w:adjustRightInd w:val="0"/>
              <w:snapToGrid w:val="0"/>
              <w:spacing w:line="300" w:lineRule="auto"/>
              <w:ind w:firstLine="480" w:firstLineChars="200"/>
              <w:rPr>
                <w:rFonts w:ascii="仿宋_GB2312" w:hAnsi="宋体" w:eastAsia="仿宋_GB2312"/>
                <w:sz w:val="24"/>
              </w:rPr>
            </w:pPr>
            <w:r>
              <w:rPr>
                <w:rFonts w:hint="eastAsia" w:ascii="仿宋_GB2312" w:hAnsi="宋体" w:eastAsia="仿宋_GB2312"/>
                <w:sz w:val="24"/>
              </w:rPr>
              <w:t>合同签订地点：</w:t>
            </w:r>
            <w:r>
              <w:rPr>
                <w:rFonts w:hint="eastAsia" w:ascii="仿宋_GB2312" w:hAnsi="宋体" w:eastAsia="仿宋_GB2312"/>
                <w:sz w:val="24"/>
                <w:u w:val="single"/>
              </w:rPr>
              <w:t xml:space="preserve"> </w:t>
            </w:r>
            <w:r>
              <w:rPr>
                <w:rFonts w:hint="eastAsia" w:ascii="仿宋_GB2312" w:hAnsi="宋体" w:eastAsia="仿宋_GB2312"/>
                <w:b/>
                <w:sz w:val="24"/>
                <w:u w:val="single"/>
              </w:rPr>
              <w:t xml:space="preserve">                      </w:t>
            </w:r>
          </w:p>
          <w:p>
            <w:pPr>
              <w:adjustRightInd w:val="0"/>
              <w:snapToGrid w:val="0"/>
              <w:spacing w:line="300" w:lineRule="auto"/>
              <w:ind w:firstLine="480" w:firstLineChars="200"/>
              <w:rPr>
                <w:rFonts w:ascii="仿宋_GB2312" w:hAnsi="宋体" w:eastAsia="仿宋_GB2312"/>
                <w:sz w:val="24"/>
              </w:rPr>
            </w:pPr>
            <w:r>
              <w:rPr>
                <w:rFonts w:hint="eastAsia" w:ascii="仿宋_GB2312" w:hAnsi="宋体" w:eastAsia="仿宋_GB2312"/>
                <w:sz w:val="24"/>
              </w:rPr>
              <w:t>本合同经双方法定代表人或其委托代理人签署并加盖公章后生效。</w:t>
            </w:r>
          </w:p>
          <w:p>
            <w:pPr>
              <w:adjustRightInd w:val="0"/>
              <w:snapToGrid w:val="0"/>
              <w:spacing w:line="300" w:lineRule="auto"/>
              <w:ind w:firstLine="480" w:firstLineChars="200"/>
              <w:rPr>
                <w:rFonts w:ascii="仿宋_GB2312" w:hAnsi="宋体" w:eastAsia="仿宋_GB2312"/>
                <w:sz w:val="24"/>
              </w:rPr>
            </w:pPr>
          </w:p>
          <w:p>
            <w:pPr>
              <w:adjustRightInd w:val="0"/>
              <w:snapToGrid w:val="0"/>
              <w:spacing w:line="300" w:lineRule="auto"/>
              <w:ind w:firstLine="480" w:firstLineChars="200"/>
              <w:rPr>
                <w:rFonts w:ascii="仿宋_GB2312" w:hAnsi="宋体" w:eastAsia="仿宋_GB2312"/>
                <w:sz w:val="24"/>
              </w:rPr>
            </w:pPr>
          </w:p>
          <w:p>
            <w:pPr>
              <w:adjustRightInd w:val="0"/>
              <w:snapToGrid w:val="0"/>
              <w:spacing w:line="360" w:lineRule="auto"/>
              <w:rPr>
                <w:rFonts w:ascii="仿宋_GB2312" w:hAnsi="宋体" w:eastAsia="仿宋_GB2312"/>
                <w:sz w:val="24"/>
              </w:rPr>
            </w:pPr>
            <w:r>
              <w:rPr>
                <w:rFonts w:hint="eastAsia" w:ascii="仿宋_GB2312" w:hAnsi="宋体" w:eastAsia="仿宋_GB2312"/>
                <w:sz w:val="24"/>
              </w:rPr>
              <w:t>委  托  人：（公章）                     工程咨询单位：（公章）</w:t>
            </w:r>
          </w:p>
          <w:p>
            <w:pPr>
              <w:adjustRightInd w:val="0"/>
              <w:snapToGrid w:val="0"/>
              <w:spacing w:line="360" w:lineRule="auto"/>
              <w:rPr>
                <w:rFonts w:ascii="仿宋_GB2312" w:hAnsi="宋体" w:eastAsia="仿宋_GB2312"/>
                <w:sz w:val="24"/>
              </w:rPr>
            </w:pPr>
            <w:r>
              <w:rPr>
                <w:rFonts w:hint="eastAsia" w:ascii="仿宋_GB2312" w:hAnsi="宋体" w:eastAsia="仿宋_GB2312"/>
                <w:sz w:val="24"/>
              </w:rPr>
              <w:t>住      所：                             住      所：</w:t>
            </w:r>
          </w:p>
          <w:p>
            <w:pPr>
              <w:adjustRightInd w:val="0"/>
              <w:snapToGrid w:val="0"/>
              <w:spacing w:line="360" w:lineRule="auto"/>
              <w:rPr>
                <w:rFonts w:ascii="仿宋_GB2312" w:hAnsi="宋体" w:eastAsia="仿宋_GB2312"/>
                <w:sz w:val="24"/>
              </w:rPr>
            </w:pPr>
            <w:r>
              <w:rPr>
                <w:rFonts w:hint="eastAsia" w:ascii="仿宋_GB2312" w:hAnsi="宋体" w:eastAsia="仿宋_GB2312"/>
                <w:sz w:val="24"/>
              </w:rPr>
              <w:t>法定代表人：                             法定代表人：</w:t>
            </w:r>
          </w:p>
          <w:p>
            <w:pPr>
              <w:adjustRightInd w:val="0"/>
              <w:snapToGrid w:val="0"/>
              <w:spacing w:line="360" w:lineRule="auto"/>
              <w:rPr>
                <w:rFonts w:ascii="仿宋_GB2312" w:hAnsi="宋体" w:eastAsia="仿宋_GB2312"/>
                <w:sz w:val="24"/>
              </w:rPr>
            </w:pPr>
            <w:r>
              <w:rPr>
                <w:rFonts w:hint="eastAsia" w:ascii="仿宋_GB2312" w:hAnsi="宋体" w:eastAsia="仿宋_GB2312"/>
                <w:sz w:val="24"/>
              </w:rPr>
              <w:t>委托代理人：                             委托代理人：</w:t>
            </w:r>
          </w:p>
          <w:p>
            <w:pPr>
              <w:adjustRightInd w:val="0"/>
              <w:snapToGrid w:val="0"/>
              <w:spacing w:line="360" w:lineRule="auto"/>
              <w:rPr>
                <w:rFonts w:ascii="仿宋_GB2312" w:hAnsi="宋体" w:eastAsia="仿宋_GB2312"/>
                <w:sz w:val="24"/>
              </w:rPr>
            </w:pPr>
            <w:r>
              <w:rPr>
                <w:rFonts w:hint="eastAsia" w:ascii="仿宋_GB2312" w:hAnsi="宋体" w:eastAsia="仿宋_GB2312"/>
                <w:sz w:val="24"/>
              </w:rPr>
              <w:t>电      话：                             电      话：</w:t>
            </w:r>
          </w:p>
          <w:p>
            <w:pPr>
              <w:adjustRightInd w:val="0"/>
              <w:snapToGrid w:val="0"/>
              <w:spacing w:line="360" w:lineRule="auto"/>
              <w:rPr>
                <w:rFonts w:ascii="仿宋_GB2312" w:hAnsi="宋体" w:eastAsia="仿宋_GB2312"/>
                <w:sz w:val="24"/>
              </w:rPr>
            </w:pPr>
            <w:r>
              <w:rPr>
                <w:rFonts w:hint="eastAsia" w:ascii="仿宋_GB2312" w:hAnsi="宋体" w:eastAsia="仿宋_GB2312"/>
                <w:sz w:val="24"/>
              </w:rPr>
              <w:t>传      真：                             传      真：</w:t>
            </w:r>
          </w:p>
          <w:p>
            <w:pPr>
              <w:adjustRightInd w:val="0"/>
              <w:snapToGrid w:val="0"/>
              <w:spacing w:line="360" w:lineRule="auto"/>
              <w:rPr>
                <w:rFonts w:ascii="仿宋_GB2312" w:hAnsi="宋体" w:eastAsia="仿宋_GB2312"/>
                <w:sz w:val="24"/>
              </w:rPr>
            </w:pPr>
            <w:r>
              <w:rPr>
                <w:rFonts w:hint="eastAsia" w:ascii="仿宋_GB2312" w:hAnsi="宋体" w:eastAsia="仿宋_GB2312"/>
                <w:sz w:val="24"/>
              </w:rPr>
              <w:t>开户银行：                               开户银行：</w:t>
            </w:r>
          </w:p>
          <w:p>
            <w:pPr>
              <w:adjustRightInd w:val="0"/>
              <w:snapToGrid w:val="0"/>
              <w:spacing w:line="360" w:lineRule="auto"/>
              <w:rPr>
                <w:rFonts w:ascii="仿宋_GB2312" w:hAnsi="宋体" w:eastAsia="仿宋_GB2312"/>
                <w:sz w:val="24"/>
              </w:rPr>
            </w:pPr>
            <w:r>
              <w:rPr>
                <w:rFonts w:hint="eastAsia" w:ascii="仿宋_GB2312" w:hAnsi="宋体" w:eastAsia="仿宋_GB2312"/>
                <w:sz w:val="24"/>
              </w:rPr>
              <w:t>帐   号：                                帐   号：</w:t>
            </w:r>
          </w:p>
          <w:p>
            <w:pPr>
              <w:adjustRightInd w:val="0"/>
              <w:snapToGrid w:val="0"/>
              <w:spacing w:line="360" w:lineRule="auto"/>
              <w:rPr>
                <w:b/>
                <w:bCs/>
                <w:sz w:val="48"/>
                <w:szCs w:val="48"/>
              </w:rPr>
            </w:pPr>
            <w:r>
              <w:rPr>
                <w:rFonts w:hint="eastAsia" w:ascii="仿宋_GB2312" w:hAnsi="宋体" w:eastAsia="仿宋_GB2312"/>
                <w:sz w:val="24"/>
              </w:rPr>
              <w:t>邮政编码：                               邮政编码：</w:t>
            </w:r>
            <w:bookmarkStart w:id="44" w:name="_Toc28225"/>
            <w:bookmarkStart w:id="45" w:name="_Toc4926"/>
          </w:p>
          <w:p>
            <w:pPr>
              <w:adjustRightInd w:val="0"/>
              <w:snapToGrid w:val="0"/>
              <w:spacing w:line="360" w:lineRule="auto"/>
              <w:jc w:val="center"/>
              <w:rPr>
                <w:b/>
                <w:bCs/>
                <w:kern w:val="0"/>
                <w:sz w:val="44"/>
                <w:szCs w:val="44"/>
              </w:rPr>
            </w:pPr>
            <w:r>
              <w:rPr>
                <w:rFonts w:hint="eastAsia"/>
                <w:b/>
                <w:bCs/>
                <w:kern w:val="0"/>
                <w:sz w:val="44"/>
                <w:szCs w:val="44"/>
              </w:rPr>
              <w:t>二、合同条件</w:t>
            </w:r>
            <w:bookmarkEnd w:id="44"/>
            <w:bookmarkEnd w:id="45"/>
            <w:bookmarkStart w:id="46" w:name="_Toc32622"/>
            <w:bookmarkStart w:id="47" w:name="_Toc26060"/>
            <w:bookmarkStart w:id="48" w:name="_Toc28636"/>
          </w:p>
          <w:p>
            <w:pPr>
              <w:spacing w:line="276" w:lineRule="auto"/>
              <w:rPr>
                <w:rFonts w:ascii="仿宋_GB2312" w:hAnsi="宋体" w:eastAsia="仿宋_GB2312"/>
                <w:b/>
                <w:sz w:val="24"/>
              </w:rPr>
            </w:pPr>
            <w:r>
              <w:rPr>
                <w:rFonts w:hint="eastAsia" w:ascii="仿宋_GB2312" w:hAnsi="宋体" w:eastAsia="仿宋_GB2312"/>
                <w:b/>
                <w:sz w:val="24"/>
              </w:rPr>
              <w:t>1.一般约定</w:t>
            </w:r>
          </w:p>
          <w:p>
            <w:pPr>
              <w:spacing w:line="276" w:lineRule="auto"/>
              <w:rPr>
                <w:rFonts w:ascii="仿宋_GB2312" w:hAnsi="宋体" w:eastAsia="仿宋_GB2312"/>
                <w:sz w:val="24"/>
              </w:rPr>
            </w:pPr>
            <w:r>
              <w:rPr>
                <w:rFonts w:hint="eastAsia" w:ascii="仿宋_GB2312" w:hAnsi="宋体" w:eastAsia="仿宋_GB2312"/>
                <w:sz w:val="24"/>
              </w:rPr>
              <w:t>1.1定义</w:t>
            </w:r>
          </w:p>
          <w:bookmarkEnd w:id="46"/>
          <w:bookmarkEnd w:id="47"/>
          <w:bookmarkEnd w:id="48"/>
          <w:p>
            <w:pPr>
              <w:tabs>
                <w:tab w:val="left" w:pos="1050"/>
                <w:tab w:val="left" w:pos="1260"/>
              </w:tabs>
              <w:adjustRightInd w:val="0"/>
              <w:snapToGrid w:val="0"/>
              <w:spacing w:line="276" w:lineRule="auto"/>
              <w:ind w:firstLine="480" w:firstLineChars="200"/>
              <w:rPr>
                <w:rFonts w:ascii="仿宋_GB2312" w:hAnsi="宋体" w:eastAsia="仿宋_GB2312"/>
                <w:sz w:val="24"/>
              </w:rPr>
            </w:pPr>
            <w:r>
              <w:rPr>
                <w:rFonts w:hint="eastAsia" w:ascii="仿宋_GB2312" w:hAnsi="宋体" w:eastAsia="仿宋_GB2312"/>
                <w:sz w:val="24"/>
              </w:rPr>
              <w:t>在本合同中，下列名词或术语，除文中另有要求和说明外，应具有本条所指的含义：</w:t>
            </w:r>
          </w:p>
          <w:p>
            <w:pPr>
              <w:pStyle w:val="11"/>
              <w:adjustRightInd w:val="0"/>
              <w:snapToGrid w:val="0"/>
              <w:spacing w:line="276" w:lineRule="auto"/>
              <w:ind w:left="0" w:leftChars="0" w:firstLine="252" w:firstLineChars="100"/>
              <w:rPr>
                <w:rFonts w:ascii="仿宋_GB2312" w:hAnsi="宋体" w:eastAsia="仿宋_GB2312"/>
                <w:spacing w:val="6"/>
                <w:kern w:val="11"/>
                <w:sz w:val="24"/>
              </w:rPr>
            </w:pPr>
            <w:r>
              <w:rPr>
                <w:rFonts w:hint="eastAsia" w:ascii="仿宋_GB2312" w:hAnsi="宋体" w:eastAsia="仿宋_GB2312"/>
                <w:spacing w:val="6"/>
                <w:kern w:val="11"/>
                <w:sz w:val="24"/>
              </w:rPr>
              <w:t>(a)(Ⅰ)“委托人”是指本合同中委托工程咨询与相关服务的一方，及其合法的继承人或受让人。本合同的委托人是中国金币深圳经销中心。</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（Ⅱ）“工程咨询单位”是指本合同中提供工程咨询与相关服务的一方，及其合法的继承人。</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（Ⅲ）“承包人”是指在工程范围内与委托人签订勘察、设计、施工等有关合同的当事人，及其合法的继承人。</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（Ⅳ）“一方”是指委托人或工程咨询单位；“双方”是指委托人和工程咨询单位；“第三方”是指除委托人和工程咨询单位以外的有关方。</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（Ⅴ）“项目组织机构”是指工程咨询单位派驻工程负责履行本合同的组织机构。</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（Ⅵ）“审计部门”指负责对包括本项目在内的深圳市政府投资项目进行审核的政府专门机构。</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（Ⅶ）“发改部门”指市发改部门等负责对包括本项目在内的深圳市政府投资项目的立项、投资批复的政府专门机构。</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（Ⅷ）“财政部门”指市财政部门等负责对包括本项目在内的深圳市政府投资项目进行资金拨付的政府专门机构。</w:t>
            </w:r>
          </w:p>
          <w:p>
            <w:pPr>
              <w:pStyle w:val="11"/>
              <w:adjustRightInd w:val="0"/>
              <w:snapToGrid w:val="0"/>
              <w:spacing w:line="276" w:lineRule="auto"/>
              <w:ind w:left="0" w:leftChars="0" w:firstLine="126" w:firstLineChars="50"/>
              <w:rPr>
                <w:rFonts w:ascii="仿宋_GB2312" w:hAnsi="宋体" w:eastAsia="仿宋_GB2312"/>
                <w:spacing w:val="6"/>
                <w:kern w:val="11"/>
                <w:sz w:val="24"/>
              </w:rPr>
            </w:pPr>
            <w:r>
              <w:rPr>
                <w:rFonts w:hint="eastAsia" w:ascii="仿宋_GB2312" w:hAnsi="宋体" w:eastAsia="仿宋_GB2312"/>
                <w:spacing w:val="6"/>
                <w:kern w:val="11"/>
                <w:sz w:val="24"/>
              </w:rPr>
              <w:t>(b)（Ⅰ）“合同”指合同条件、投标文件、中标通知书、合同协议书以及构成合同组成部分的其他文件。</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（Ⅱ）“规范”指国家现行的相关规范。</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（Ⅲ）“投标文件”指工程咨询单位为完成本合同约定的工程咨询任务向委托人提交的相关文件。</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（Ⅳ）“中标通知书”指委托人对投标文件的正式接受函件。</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（Ⅴ）“投标函附件”指构成投标文件的附件。</w:t>
            </w:r>
          </w:p>
          <w:p>
            <w:pPr>
              <w:pStyle w:val="11"/>
              <w:adjustRightInd w:val="0"/>
              <w:snapToGrid w:val="0"/>
              <w:spacing w:line="276" w:lineRule="auto"/>
              <w:ind w:left="0" w:leftChars="0" w:firstLine="126" w:firstLineChars="50"/>
              <w:rPr>
                <w:rFonts w:ascii="仿宋_GB2312" w:hAnsi="宋体" w:eastAsia="仿宋_GB2312"/>
                <w:spacing w:val="6"/>
                <w:kern w:val="11"/>
                <w:sz w:val="24"/>
              </w:rPr>
            </w:pPr>
            <w:r>
              <w:rPr>
                <w:rFonts w:hint="eastAsia" w:ascii="仿宋_GB2312" w:hAnsi="宋体" w:eastAsia="仿宋_GB2312"/>
                <w:spacing w:val="6"/>
                <w:kern w:val="11"/>
                <w:sz w:val="24"/>
              </w:rPr>
              <w:t>(c)（Ⅰ）“工程”是指按照本合同约定实施工程咨询与相关服务的建设工程合同段。</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（Ⅱ）“工程咨询”是指按照本合同约定实施本工程的项目咨询工作、工程监理工作（施工准备、施工及保修阶段）、以及应由工程咨询单位完成的其他工作。</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Ⅲ）“项目咨询”是指工程咨询单位受委托人的委托，依照法律法规、工程建设标准、设计文件及合同，对建设项目从前期、实施到竣工各阶段、各环节建设工程质量、进度、造价进行控制管理，减少工程错误和遗漏，提高工程质量，保证工程造价，符合投资概算的服务活动。</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Ⅳ）“工程监理”是指工程咨询单位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（Ⅴ）“相关服务”是指工程咨询单位受委托人的委托，按照本合同约定提供的服务活动。</w:t>
            </w:r>
          </w:p>
          <w:p>
            <w:pPr>
              <w:pStyle w:val="11"/>
              <w:adjustRightInd w:val="0"/>
              <w:snapToGrid w:val="0"/>
              <w:spacing w:line="276" w:lineRule="auto"/>
              <w:ind w:left="0" w:leftChars="0" w:firstLine="126" w:firstLineChars="50"/>
              <w:rPr>
                <w:rFonts w:ascii="仿宋_GB2312" w:hAnsi="宋体" w:eastAsia="仿宋_GB2312"/>
                <w:spacing w:val="6"/>
                <w:kern w:val="11"/>
                <w:sz w:val="24"/>
              </w:rPr>
            </w:pPr>
            <w:r>
              <w:rPr>
                <w:rFonts w:hint="eastAsia" w:ascii="仿宋_GB2312" w:hAnsi="宋体" w:eastAsia="仿宋_GB2312"/>
                <w:spacing w:val="6"/>
                <w:kern w:val="11"/>
                <w:sz w:val="24"/>
              </w:rPr>
              <w:t>(d)（Ⅰ）“天”是指第一天零时至第二天零时的时间。</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（Ⅱ）“月”是指按公历从一个月中任何一天开始的一个公历月时间。</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（Ⅲ）“书面形式”是指合同书、信件和数据电文（包括电报、电传、传真、电子数据交换和电子邮件）等可以有形地表现所载内容的形式。</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Ⅳ）“不可抗力”是指委托人和工程咨询单位在订立本合同时不可预见，在工程施工过程中不可避免发生并不能克服的自然灾害和社会性突发事件，如地震、海啸、瘟疫、水灾、骚乱、暴动、战争和专用条件约定的其他情形。</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（Ⅴ）“国家”指中华人民共和国。</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（Ⅵ）“当地”指本合同项目所在地及其附近。</w:t>
            </w:r>
          </w:p>
          <w:p>
            <w:pPr>
              <w:pStyle w:val="11"/>
              <w:adjustRightInd w:val="0"/>
              <w:snapToGrid w:val="0"/>
              <w:spacing w:line="276" w:lineRule="auto"/>
              <w:ind w:left="0" w:leftChars="0" w:firstLine="529" w:firstLineChars="210"/>
              <w:rPr>
                <w:rFonts w:hint="eastAsia" w:ascii="仿宋_GB2312" w:hAnsi="宋体" w:eastAsia="仿宋_GB2312"/>
                <w:spacing w:val="6"/>
                <w:kern w:val="11"/>
                <w:sz w:val="24"/>
              </w:rPr>
            </w:pPr>
            <w:r>
              <w:rPr>
                <w:rFonts w:hint="eastAsia" w:ascii="仿宋_GB2312" w:hAnsi="宋体" w:eastAsia="仿宋_GB2312"/>
                <w:spacing w:val="6"/>
                <w:kern w:val="11"/>
                <w:sz w:val="24"/>
              </w:rPr>
              <w:t>（Ⅶ）“币种”指人民币（RMB），除非合同另有约定。</w:t>
            </w:r>
          </w:p>
          <w:p>
            <w:pPr>
              <w:pStyle w:val="11"/>
              <w:adjustRightInd w:val="0"/>
              <w:snapToGrid w:val="0"/>
              <w:spacing w:line="276" w:lineRule="auto"/>
              <w:ind w:left="0" w:leftChars="0"/>
              <w:rPr>
                <w:rFonts w:ascii="仿宋_GB2312" w:hAnsi="宋体" w:eastAsia="仿宋_GB2312"/>
                <w:b/>
                <w:sz w:val="24"/>
              </w:rPr>
            </w:pPr>
            <w:r>
              <w:rPr>
                <w:rFonts w:hint="eastAsia" w:ascii="仿宋_GB2312" w:hAnsi="宋体" w:eastAsia="仿宋_GB2312"/>
                <w:b/>
                <w:sz w:val="24"/>
              </w:rPr>
              <w:t>2.工作模式</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2.1本项目拟采用全过程工程咨询服务一体化服务管理模式。</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2.2全过程工程咨询人派出的项目管理团队对工程项目策划、前期、实施、验收移交、保修、竣工决算等全过程实施管理。</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 xml:space="preserve">2.3全过程工程咨询人派出的设计、监理、造价咨询工程师团队承担本项目的设计、监理及造价咨询工作和国家、省、市等法律法规规定的相关责任。    </w:t>
            </w:r>
          </w:p>
          <w:p>
            <w:pPr>
              <w:pStyle w:val="11"/>
              <w:adjustRightInd w:val="0"/>
              <w:snapToGrid w:val="0"/>
              <w:spacing w:line="276" w:lineRule="auto"/>
              <w:ind w:left="0" w:leftChars="0" w:firstLine="529" w:firstLineChars="210"/>
              <w:rPr>
                <w:rFonts w:ascii="宋体" w:hAnsi="宋体"/>
                <w:spacing w:val="6"/>
                <w:kern w:val="11"/>
                <w:szCs w:val="21"/>
              </w:rPr>
            </w:pPr>
            <w:r>
              <w:rPr>
                <w:rFonts w:hint="eastAsia" w:ascii="仿宋_GB2312" w:hAnsi="宋体" w:eastAsia="仿宋_GB2312"/>
                <w:spacing w:val="6"/>
                <w:kern w:val="11"/>
                <w:sz w:val="24"/>
              </w:rPr>
              <w:t>2.4委托人派驻的项目组与全过程工程咨询人共同组成项目咨询团队，委托人派驻的项目组有权代表委托人对全过程工程咨询人的工作进行检查、监督，参与重大事项的决策，委托人派驻的项目组负责委托人与全过程工程咨询人之间的沟通与协调工作，指导全过程工程咨询人按照委托人有关政府工程建设制度履行程序，指导全过程工程咨询人向委托人设立的招标委员会、技术委员会、材料设备委员会、专业组等机构汇报等工作。</w:t>
            </w:r>
            <w:bookmarkStart w:id="49" w:name="_Toc12114"/>
            <w:bookmarkStart w:id="50" w:name="_Toc17166"/>
            <w:bookmarkStart w:id="51" w:name="_Toc12933"/>
            <w:bookmarkStart w:id="52" w:name="_Toc302461556"/>
            <w:bookmarkStart w:id="53" w:name="_Toc265849367"/>
          </w:p>
          <w:p>
            <w:pPr>
              <w:pStyle w:val="11"/>
              <w:adjustRightInd w:val="0"/>
              <w:snapToGrid w:val="0"/>
              <w:spacing w:line="360" w:lineRule="auto"/>
              <w:ind w:left="0" w:leftChars="0"/>
              <w:jc w:val="center"/>
              <w:rPr>
                <w:rFonts w:hint="eastAsia"/>
                <w:b/>
                <w:bCs/>
                <w:sz w:val="44"/>
                <w:szCs w:val="44"/>
              </w:rPr>
            </w:pPr>
          </w:p>
          <w:p>
            <w:pPr>
              <w:pStyle w:val="11"/>
              <w:adjustRightInd w:val="0"/>
              <w:snapToGrid w:val="0"/>
              <w:spacing w:line="360" w:lineRule="auto"/>
              <w:ind w:left="0" w:leftChars="0"/>
              <w:jc w:val="center"/>
              <w:rPr>
                <w:b/>
                <w:bCs/>
                <w:sz w:val="44"/>
                <w:szCs w:val="44"/>
              </w:rPr>
            </w:pPr>
            <w:r>
              <w:rPr>
                <w:rFonts w:hint="eastAsia"/>
                <w:b/>
                <w:bCs/>
                <w:sz w:val="44"/>
                <w:szCs w:val="44"/>
              </w:rPr>
              <w:t>三、合同文件</w:t>
            </w:r>
            <w:bookmarkEnd w:id="49"/>
            <w:bookmarkEnd w:id="50"/>
            <w:bookmarkEnd w:id="51"/>
            <w:bookmarkEnd w:id="52"/>
            <w:bookmarkEnd w:id="53"/>
          </w:p>
          <w:p>
            <w:pPr>
              <w:pStyle w:val="6"/>
              <w:widowControl/>
              <w:numPr>
                <w:ilvl w:val="5"/>
                <w:numId w:val="0"/>
              </w:numPr>
              <w:tabs>
                <w:tab w:val="left" w:pos="1152"/>
              </w:tabs>
              <w:spacing w:after="60" w:line="360" w:lineRule="auto"/>
              <w:ind w:left="-432"/>
              <w:jc w:val="left"/>
              <w:rPr>
                <w:rFonts w:ascii="仿宋_GB2312" w:hAnsi="宋体" w:eastAsia="仿宋_GB2312"/>
                <w:b/>
                <w:sz w:val="24"/>
                <w:szCs w:val="24"/>
              </w:rPr>
            </w:pPr>
            <w:bookmarkStart w:id="54" w:name="_Toc265849368"/>
            <w:bookmarkStart w:id="55" w:name="_Toc302461557"/>
            <w:r>
              <w:rPr>
                <w:rFonts w:hint="eastAsia" w:ascii="仿宋_GB2312" w:hAnsi="宋体" w:eastAsia="仿宋_GB2312"/>
                <w:b/>
                <w:sz w:val="24"/>
                <w:szCs w:val="24"/>
              </w:rPr>
              <w:t xml:space="preserve"> 3.法律</w:t>
            </w:r>
            <w:bookmarkEnd w:id="54"/>
            <w:bookmarkEnd w:id="55"/>
          </w:p>
          <w:p>
            <w:pPr>
              <w:pStyle w:val="11"/>
              <w:adjustRightInd w:val="0"/>
              <w:snapToGrid w:val="0"/>
              <w:spacing w:line="360" w:lineRule="auto"/>
              <w:ind w:left="0" w:leftChars="0"/>
              <w:rPr>
                <w:rFonts w:ascii="仿宋_GB2312" w:hAnsi="宋体" w:eastAsia="仿宋_GB2312"/>
                <w:sz w:val="24"/>
              </w:rPr>
            </w:pPr>
            <w:r>
              <w:rPr>
                <w:rFonts w:hint="eastAsia" w:ascii="仿宋_GB2312" w:hAnsi="宋体" w:eastAsia="仿宋_GB2312"/>
                <w:sz w:val="24"/>
              </w:rPr>
              <w:t xml:space="preserve">    本合同必须服从国家现行法律和法规；合同的解释应以现行法律和法规为准。全过程工程咨询单位的工作应遵循以下法律、法规和有关规定：</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 xml:space="preserve">    3.1《中华人民共和国建筑法》；</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 xml:space="preserve">    3.2《工程咨询行业管理办法》2017年第9号令；</w:t>
            </w:r>
          </w:p>
          <w:p>
            <w:pPr>
              <w:adjustRightInd w:val="0"/>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 xml:space="preserve">    3.3《建设工程质量管理条例》；</w:t>
            </w:r>
          </w:p>
          <w:p>
            <w:pPr>
              <w:adjustRightInd w:val="0"/>
              <w:snapToGrid w:val="0"/>
              <w:spacing w:line="360" w:lineRule="auto"/>
              <w:ind w:firstLine="720" w:firstLineChars="300"/>
              <w:rPr>
                <w:rFonts w:ascii="仿宋_GB2312" w:hAnsi="宋体" w:eastAsia="仿宋_GB2312"/>
                <w:sz w:val="24"/>
              </w:rPr>
            </w:pPr>
            <w:r>
              <w:rPr>
                <w:rFonts w:hint="eastAsia" w:ascii="仿宋_GB2312" w:hAnsi="宋体" w:eastAsia="仿宋_GB2312"/>
                <w:sz w:val="24"/>
              </w:rPr>
              <w:t xml:space="preserve">  3.4《建设工程设计规范》；</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 xml:space="preserve">    3.5《建设工程监理规范》；</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 xml:space="preserve">    3.6《建设工程造价咨询规范》；</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 xml:space="preserve">    3.7《深圳市规范项目经理和项目总监任职行为的若干规定》</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 xml:space="preserve">    3.8其它相关法律、法规、规章及规定。</w:t>
            </w:r>
          </w:p>
          <w:p>
            <w:pPr>
              <w:pStyle w:val="6"/>
              <w:widowControl/>
              <w:numPr>
                <w:ilvl w:val="5"/>
                <w:numId w:val="0"/>
              </w:numPr>
              <w:tabs>
                <w:tab w:val="left" w:pos="1152"/>
              </w:tabs>
              <w:spacing w:after="60" w:line="360" w:lineRule="auto"/>
              <w:ind w:left="-432"/>
              <w:jc w:val="left"/>
              <w:rPr>
                <w:rFonts w:ascii="仿宋_GB2312" w:hAnsi="宋体" w:eastAsia="仿宋_GB2312"/>
                <w:b/>
                <w:sz w:val="24"/>
                <w:szCs w:val="24"/>
              </w:rPr>
            </w:pPr>
            <w:bookmarkStart w:id="56" w:name="_Toc302461558"/>
            <w:bookmarkStart w:id="57" w:name="_Toc265849369"/>
            <w:r>
              <w:rPr>
                <w:rFonts w:hint="eastAsia" w:ascii="仿宋_GB2312" w:hAnsi="宋体" w:eastAsia="仿宋_GB2312"/>
                <w:b/>
                <w:sz w:val="24"/>
                <w:szCs w:val="24"/>
              </w:rPr>
              <w:t>4.合同文件的优先次序</w:t>
            </w:r>
            <w:bookmarkEnd w:id="56"/>
            <w:bookmarkEnd w:id="57"/>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组成合同的各个文件应该认为是一个整体，彼此相互解释，相互补充。如果出现含糊不清或相互矛盾的情况，由委托人做出解释和调整。在这种情况下，除非合同另有规定，组成合同的几个文件的优先支配地位应依次如下：</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4.1合同协议书及双方签订的补充协议；</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4.2中标通知书；</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4.3招标文件及补遗；</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4.4投标书及其附件（含工程咨询单位在评标期间和合同谈判过程中递交和确认并经委托人同意的对有关问题的补充资料和澄清文件等，如果有）；</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4.5合同条件（含招标文件补遗书中与此有关的部分，如果有）；</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4.6双方认为应作为合同构成的其他文件。</w:t>
            </w:r>
          </w:p>
          <w:p>
            <w:pPr>
              <w:pStyle w:val="11"/>
              <w:adjustRightInd w:val="0"/>
              <w:snapToGrid w:val="0"/>
              <w:spacing w:line="276" w:lineRule="auto"/>
              <w:ind w:left="0" w:leftChars="0" w:firstLine="529" w:firstLineChars="210"/>
              <w:rPr>
                <w:rFonts w:hint="eastAsia"/>
                <w:b/>
                <w:bCs/>
                <w:sz w:val="44"/>
                <w:szCs w:val="44"/>
              </w:rPr>
            </w:pPr>
            <w:r>
              <w:rPr>
                <w:rFonts w:hint="eastAsia" w:ascii="仿宋_GB2312" w:hAnsi="宋体" w:eastAsia="仿宋_GB2312"/>
                <w:spacing w:val="6"/>
                <w:kern w:val="11"/>
                <w:sz w:val="24"/>
              </w:rPr>
              <w:t>如无特别理由，合同履行过程中委托人制定的有关工程咨询的普适性管理规定可作为合同文件的有效组成部分，工程咨询单位应予以执行，但有违公平原则的除外。</w:t>
            </w:r>
            <w:bookmarkStart w:id="58" w:name="_Toc4134"/>
            <w:bookmarkStart w:id="59" w:name="_Toc3598"/>
            <w:bookmarkStart w:id="60" w:name="_Toc2026"/>
          </w:p>
          <w:p>
            <w:pPr>
              <w:pStyle w:val="11"/>
              <w:adjustRightInd w:val="0"/>
              <w:snapToGrid w:val="0"/>
              <w:spacing w:line="360" w:lineRule="auto"/>
              <w:ind w:left="0" w:leftChars="0"/>
              <w:jc w:val="center"/>
              <w:rPr>
                <w:b/>
                <w:bCs/>
                <w:sz w:val="44"/>
                <w:szCs w:val="44"/>
              </w:rPr>
            </w:pPr>
            <w:r>
              <w:rPr>
                <w:rFonts w:hint="eastAsia"/>
                <w:b/>
                <w:bCs/>
                <w:sz w:val="44"/>
                <w:szCs w:val="44"/>
              </w:rPr>
              <w:t>四、工程咨询单位义务</w:t>
            </w:r>
            <w:bookmarkEnd w:id="58"/>
            <w:bookmarkEnd w:id="59"/>
            <w:bookmarkEnd w:id="60"/>
            <w:r>
              <w:rPr>
                <w:rFonts w:hint="eastAsia"/>
                <w:b/>
                <w:bCs/>
                <w:sz w:val="44"/>
                <w:szCs w:val="44"/>
              </w:rPr>
              <w:t>与责任</w:t>
            </w:r>
          </w:p>
          <w:p>
            <w:pPr>
              <w:pStyle w:val="6"/>
              <w:widowControl/>
              <w:numPr>
                <w:ilvl w:val="5"/>
                <w:numId w:val="0"/>
              </w:numPr>
              <w:tabs>
                <w:tab w:val="left" w:pos="1152"/>
              </w:tabs>
              <w:spacing w:after="60" w:line="360" w:lineRule="auto"/>
              <w:ind w:left="-432" w:firstLine="964" w:firstLineChars="400"/>
              <w:jc w:val="left"/>
              <w:rPr>
                <w:rFonts w:ascii="仿宋_GB2312" w:hAnsi="宋体" w:eastAsia="仿宋_GB2312" w:cs="宋体"/>
                <w:b/>
                <w:sz w:val="24"/>
                <w:szCs w:val="24"/>
              </w:rPr>
            </w:pPr>
            <w:r>
              <w:rPr>
                <w:rFonts w:hint="eastAsia" w:ascii="仿宋_GB2312" w:hAnsi="宋体" w:eastAsia="仿宋_GB2312" w:cs="宋体"/>
                <w:b/>
                <w:sz w:val="24"/>
                <w:szCs w:val="24"/>
              </w:rPr>
              <w:t>5.工程咨询单位的服务范围</w:t>
            </w:r>
          </w:p>
          <w:p>
            <w:pPr>
              <w:pStyle w:val="11"/>
              <w:adjustRightInd w:val="0"/>
              <w:snapToGrid w:val="0"/>
              <w:spacing w:line="360" w:lineRule="auto"/>
              <w:ind w:left="0" w:leftChars="0"/>
              <w:rPr>
                <w:rFonts w:ascii="仿宋_GB2312" w:hAnsi="宋体" w:eastAsia="仿宋_GB2312" w:cs="宋体"/>
                <w:sz w:val="24"/>
              </w:rPr>
            </w:pPr>
            <w:r>
              <w:rPr>
                <w:rFonts w:hint="eastAsia" w:ascii="仿宋_GB2312" w:hAnsi="宋体" w:eastAsia="仿宋_GB2312" w:cs="宋体"/>
                <w:sz w:val="24"/>
              </w:rPr>
              <w:t xml:space="preserve">    自合同签订之日起，对项目进行全过程策划与管理。包括但不限于以下方面：</w:t>
            </w:r>
          </w:p>
          <w:p>
            <w:pPr>
              <w:pStyle w:val="11"/>
              <w:adjustRightInd w:val="0"/>
              <w:snapToGrid w:val="0"/>
              <w:spacing w:line="276" w:lineRule="auto"/>
              <w:ind w:left="0" w:leftChars="0" w:firstLine="529" w:firstLineChars="210"/>
              <w:rPr>
                <w:rFonts w:hint="eastAsia" w:ascii="仿宋_GB2312" w:hAnsi="宋体" w:eastAsia="仿宋_GB2312"/>
                <w:spacing w:val="6"/>
                <w:kern w:val="11"/>
                <w:sz w:val="24"/>
              </w:rPr>
            </w:pPr>
            <w:r>
              <w:rPr>
                <w:rFonts w:hint="eastAsia" w:ascii="仿宋_GB2312" w:hAnsi="宋体" w:eastAsia="仿宋_GB2312"/>
                <w:spacing w:val="6"/>
                <w:kern w:val="11"/>
                <w:sz w:val="24"/>
              </w:rPr>
              <w:t>5.1  项目咨询: 项目计划统筹及总体管理、前期工作管理、设计管理、技术管理、进度管理、投资管理、质量安全管理、实验室工艺咨询管理、项目组织协调管理、招标采购管理、合同管理、BIM管理、档案信息管理、报批报建管理、协助办理申报奖项、竣工验收及移交管理、工程结算管理以及与项目建设管理相关的其他工作。</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5.2 全过程设计：根据招标人确定的年度修缮及其他维修项目内容，结合实际出具相应施工图纸，满足现场施工需要，根据实际变更出具变更图纸，项目竣工后出具竣工图纸。</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5.3工程监理：施工准备阶段监理、施工阶段监理、保修监理及后续服务管理以及与工程监理相关的其他工作。</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5.4全过程工程咨询单位依法承担与项目管理工作、工程监理工作相应的法律责任。</w:t>
            </w:r>
            <w:bookmarkStart w:id="61" w:name="_Toc29314"/>
          </w:p>
          <w:p>
            <w:pPr>
              <w:pStyle w:val="6"/>
              <w:widowControl/>
              <w:numPr>
                <w:ilvl w:val="5"/>
                <w:numId w:val="0"/>
              </w:numPr>
              <w:tabs>
                <w:tab w:val="left" w:pos="1152"/>
              </w:tabs>
              <w:spacing w:after="60" w:line="360" w:lineRule="auto"/>
              <w:ind w:firstLine="482" w:firstLineChars="200"/>
              <w:jc w:val="left"/>
              <w:rPr>
                <w:rFonts w:ascii="仿宋_GB2312" w:hAnsi="宋体" w:eastAsia="仿宋_GB2312" w:cs="宋体"/>
                <w:b/>
                <w:sz w:val="24"/>
                <w:szCs w:val="24"/>
              </w:rPr>
            </w:pPr>
            <w:r>
              <w:rPr>
                <w:rFonts w:hint="eastAsia" w:ascii="仿宋_GB2312" w:hAnsi="宋体" w:eastAsia="仿宋_GB2312" w:cs="宋体"/>
                <w:b/>
                <w:sz w:val="24"/>
                <w:szCs w:val="24"/>
              </w:rPr>
              <w:t>6.工程咨询单位的责任</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6.1在项目策划与管理相关服务过程中，如果因工程建设进度的推迟或延误而超过书面约定的服务期，双方应另拟订补充协议约定相应延长的服务期。</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6.2工程咨询单位在服务期内，应当履行项目策划与管理合同中约定的义务，如因工程咨询单位原因而发生质量事故，造成委托人经济损失，工程咨询单位应当向委托人赔偿。</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如因工程咨询单位的原因使工期延误，造成委托人经济损失，工程咨询单位应当向委托人赔偿；如因委托人的原因造成工期延误，委托人不向工程咨询单位补偿。</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6.3工程咨询单位对各类承包人违反合同约定的质量、安全要求和建筑节能要求，以及竣工（交图、交货）时限，工程咨询单位应当采取措施予以制止，不能有效制止的，应当及时通知委托人，并报告建设行政主管部门或有关行政主管部门。因不可抗力导致委托项目策划与管理合同不能全部或部分履行，工程咨询单位不承担责任。</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6.4工程咨询单位向委托人提出赔偿要求不能成立时，工程咨询单位应当补偿由于该索赔所导致委托人的各种费用支出。</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6.5工程咨询单位应当按照法律、法规，工程建设强制性标准及项目策划与管理合同实施项目策划、工程咨询和监理，对所管理和监理工程的施工质量、安全生产、建筑节能进行监督检查，并对施工质量、安全生产及建筑节能承担工程咨询管理责任和监理责任。</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6.6对涉及安全或对投资影响重大的有关计算，工程咨询单位必须提供设计计算书（包括设计输入条件、基础数据、计算方法、计算结果等）以便委托人或委托人委托的相关单位在必要时使用其它程序进行验算，工程咨询单位不得以专利和知识产权为借口拒绝配合。</w:t>
            </w:r>
          </w:p>
          <w:p>
            <w:pPr>
              <w:pStyle w:val="11"/>
              <w:adjustRightInd w:val="0"/>
              <w:snapToGrid w:val="0"/>
              <w:spacing w:line="276" w:lineRule="auto"/>
              <w:ind w:left="0" w:leftChars="0" w:firstLine="529" w:firstLineChars="210"/>
              <w:rPr>
                <w:rFonts w:ascii="宋体" w:hAnsi="宋体"/>
                <w:spacing w:val="6"/>
                <w:kern w:val="11"/>
                <w:szCs w:val="21"/>
              </w:rPr>
            </w:pPr>
            <w:r>
              <w:rPr>
                <w:rFonts w:hint="eastAsia" w:ascii="仿宋_GB2312" w:hAnsi="宋体" w:eastAsia="仿宋_GB2312"/>
                <w:spacing w:val="6"/>
                <w:kern w:val="11"/>
                <w:sz w:val="24"/>
              </w:rPr>
              <w:t>6.7工程咨询单位对委托人提供的有关文件材料负保密义务，并仅限用于本项目的工作。</w:t>
            </w:r>
          </w:p>
          <w:p>
            <w:pPr>
              <w:pStyle w:val="11"/>
              <w:adjustRightInd w:val="0"/>
              <w:snapToGrid w:val="0"/>
              <w:spacing w:line="360" w:lineRule="auto"/>
              <w:ind w:left="0" w:leftChars="0"/>
              <w:jc w:val="center"/>
              <w:rPr>
                <w:b/>
                <w:bCs/>
                <w:sz w:val="44"/>
                <w:szCs w:val="44"/>
              </w:rPr>
            </w:pPr>
            <w:r>
              <w:rPr>
                <w:rFonts w:hint="eastAsia"/>
                <w:b/>
                <w:bCs/>
                <w:sz w:val="44"/>
                <w:szCs w:val="44"/>
              </w:rPr>
              <w:t>五、委托人义务</w:t>
            </w:r>
            <w:bookmarkEnd w:id="61"/>
          </w:p>
          <w:p>
            <w:pPr>
              <w:pStyle w:val="6"/>
              <w:widowControl/>
              <w:numPr>
                <w:ilvl w:val="5"/>
                <w:numId w:val="0"/>
              </w:numPr>
              <w:tabs>
                <w:tab w:val="left" w:pos="1152"/>
              </w:tabs>
              <w:spacing w:line="360" w:lineRule="auto"/>
              <w:ind w:left="-432" w:firstLine="964" w:firstLineChars="400"/>
              <w:jc w:val="left"/>
              <w:rPr>
                <w:rFonts w:ascii="仿宋_GB2312" w:hAnsi="宋体" w:eastAsia="仿宋_GB2312"/>
                <w:b/>
                <w:sz w:val="24"/>
                <w:szCs w:val="24"/>
              </w:rPr>
            </w:pPr>
            <w:r>
              <w:rPr>
                <w:rFonts w:hint="eastAsia" w:ascii="仿宋_GB2312" w:hAnsi="宋体" w:eastAsia="仿宋_GB2312"/>
                <w:b/>
                <w:sz w:val="24"/>
                <w:szCs w:val="24"/>
              </w:rPr>
              <w:t xml:space="preserve"> 7.提供协助</w:t>
            </w:r>
          </w:p>
          <w:p>
            <w:pPr>
              <w:pStyle w:val="11"/>
              <w:adjustRightInd w:val="0"/>
              <w:snapToGrid w:val="0"/>
              <w:spacing w:line="360" w:lineRule="auto"/>
              <w:ind w:left="0" w:leftChars="0"/>
              <w:rPr>
                <w:rFonts w:ascii="仿宋_GB2312" w:hAnsi="宋体" w:eastAsia="仿宋_GB2312"/>
                <w:sz w:val="24"/>
              </w:rPr>
            </w:pPr>
            <w:r>
              <w:rPr>
                <w:rFonts w:hint="eastAsia" w:ascii="仿宋_GB2312" w:hAnsi="宋体" w:eastAsia="仿宋_GB2312"/>
                <w:sz w:val="24"/>
              </w:rPr>
              <w:t xml:space="preserve">    为使项目策划与管理工作顺利进行，委托人为工程咨询单位及项目组织机构按照具体情况提供如下协助：</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7.1免费提供与本建设项目咨询工作有关的资料；</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7.2 进场、值班、工作和退场所需的条件；</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7.3与其他组织（包括与本项目有关的甲供材料、甲供设备厂家及配合单位）联系的渠道，以便项目组织机构收集为履行服务而应了解的情报信息。</w:t>
            </w:r>
          </w:p>
          <w:p>
            <w:pPr>
              <w:pStyle w:val="11"/>
              <w:adjustRightInd w:val="0"/>
              <w:snapToGrid w:val="0"/>
              <w:spacing w:line="276" w:lineRule="auto"/>
              <w:ind w:left="0" w:leftChars="0" w:firstLine="723" w:firstLineChars="300"/>
              <w:rPr>
                <w:rFonts w:ascii="仿宋_GB2312" w:hAnsi="宋体" w:eastAsia="仿宋_GB2312"/>
                <w:b/>
                <w:bCs/>
                <w:sz w:val="24"/>
              </w:rPr>
            </w:pPr>
            <w:r>
              <w:rPr>
                <w:rFonts w:hint="eastAsia" w:ascii="仿宋_GB2312" w:hAnsi="宋体" w:eastAsia="仿宋_GB2312"/>
                <w:b/>
                <w:bCs/>
                <w:sz w:val="24"/>
              </w:rPr>
              <w:t>8.及时做出决定</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为了不影响工程咨询工作，委托人应在一个合理时间内，就项目组织机构以书面形式提交的一切事宜作出书面决定。</w:t>
            </w:r>
          </w:p>
          <w:p>
            <w:pPr>
              <w:pStyle w:val="11"/>
              <w:adjustRightInd w:val="0"/>
              <w:snapToGrid w:val="0"/>
              <w:spacing w:line="276" w:lineRule="auto"/>
              <w:ind w:left="0" w:leftChars="0" w:firstLine="723" w:firstLineChars="300"/>
              <w:rPr>
                <w:rFonts w:ascii="仿宋_GB2312" w:hAnsi="宋体" w:eastAsia="仿宋_GB2312"/>
                <w:b/>
                <w:bCs/>
                <w:sz w:val="24"/>
              </w:rPr>
            </w:pPr>
            <w:r>
              <w:rPr>
                <w:rFonts w:hint="eastAsia" w:ascii="仿宋_GB2312" w:hAnsi="宋体" w:eastAsia="仿宋_GB2312"/>
                <w:b/>
                <w:bCs/>
                <w:sz w:val="24"/>
              </w:rPr>
              <w:t>9.委托人委托管理</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在委托的工程范围内，委托人委托工程咨询单位对工程进行监督、建议、管理：</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9.1代表委托人监督设计合同的实施。</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9.2根据项目策划及工程咨询服务工作的需要，通过委托人向设计单位签发有关指令、指示。</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9.3对工程设计和其他专业设计中的技术问题，按照安全和优化的原则,向设计单位提出建议，并向委托人提出书面报告。如果拟提出的建议可能会提高工程造价，或延长工期，应当事先征得委托人的同意。当发现工程设计不符合国家颁布的建设工程质量标准或设计合同约定的质量标准时，项目管理工程师应当书面报告委托人并要求设计人更正。</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9.4对设计质量的检查权。对于不符合设计要求及规程、规范的设计文件，有权通知设计单位进行修改、补充或返工。</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9.5有权要求各设计单位提供用于审查设计文件所需的辅助资料及进一步的说明。</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9.6有权对各设计分包单位的设计质量及进度情况进行检查。</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9.7对设计单位提交的设计进度计划及说明，以及在设计过程中提交的各种详细计划和变更计划的审查权。</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9.8当工程设计未能按计划进行时，有权要求设计单位调整或修改计划，并通知设计单位采取必要的措施加快设计进度，当设计进度可能导致合同工期严重延误时，有义务提出中止执行设计承包合同的详细报告，供委托人采取措施时参考。</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9.9设计承包合同约定的设计费范围内，各种设计费支付的建议权。</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9.10对不符合设计技术要求和设计合同文件要求的设计文件，有权建议委托人暂拒支付设计费，直到这些设计文件达到要求。</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9.11参加或组织设计总包单位召开的涉及设计管理、进度、质量、技术的有关会议。</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9.12对设计单位提出的设计周期的延长或费用索赔，有责任就其中申述的理由查清情况，并根据合同规定程序审核延长或索赔的款项经委托人审批后发出通知。</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9.13对设计总包单位的主要技术、管理人员的构成、数量依据合同的监督、检查权。对不称职的主要技术、管理人员，有权建议更换。</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9.14工程建设有关事项包括工程规模、设计标准、规划设计、生产工艺设计和使用功能要求，向委托人的建议权。</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9.15审批工程施工组织设计和技术方案，按照保质量、保安全、保工期、降低成本，以及节能的原则，向承包人提出建议，并向委托人提出书面报告。</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9.16工程建设相关协作单位的组织协调的主持权，重要协调事项应事先向委托人报告。</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9.17征得委托人同意，监理工程师有权发布开工令、停工令、复工令，但应当事先向委托人报告。如在紧急情况下未能事先报告时，则应在24小时内向委托人做出书面报告。</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9.18工程上使用的材料和施工质量的检验权。对于不符合设计要求和施工合同约定，以及国家质量标准、节能要求的材料、构配件、设备，有权通知承包人停止使用；对于不符合规范和质量标准的检验批、分项、分部工程和有安全风险的施工作业，有权通知承包人停工整改、返工。承包人得到监理工程师复工令后才能复工。不能有效制止的，应当报告主管部门、工程质量监督或者施工安全监督机构处理。</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9.19工程施工进度的检查、监督权（工期以委托人认定为准）。</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9.20在工程承包合同约定的工程价格范围内，工程款支付的审核和签认权，以及结算工程款的复核确认权与否定权。未经项目总负责人和总监签字确认，委托人不得支付工程款。</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9.21项目管理工程师和监理工程师有权及时向委托人获取工程建设过程中有关信息和资料，如：勘察设计委托合同、施工承包合同、供货合同、工程量洽商变更、材料设备采购及工程进度款支付等重要信息、资料，委托人应当给予支持。</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9.22所有工程变更（包括设计变更和工程洽商）应当通过项目总负责人和总监的审核和签认。</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9.23根据委托人与承包人签订的合同条款，对承包人违反合同约定的情况发出处违约金决定的通知，并报委托人备案；</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9.24委托人不派出现场的工程咨询单位人员时，工程咨询单位及其项目组织机构应按《建设工程监理规范》要求对建设工程质量、进度、造价进行管理，对合同、信息进行管理，对工程建设相关方的关系进行协调，并履行建设工程安全生产管理法定职责。</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9.25如果项目管理工程师和监理工程师行使的职权或履行职责的授权来自于委托人和第三方签订的合同文件，项目管理工程师和监理工程师应根据合同文件进行工作。但如果其授权与上述授权有矛盾时，以本授权为准。</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9.26委托人书面授予的其他职权。</w:t>
            </w:r>
          </w:p>
          <w:p>
            <w:pPr>
              <w:pStyle w:val="11"/>
              <w:adjustRightInd w:val="0"/>
              <w:snapToGrid w:val="0"/>
              <w:spacing w:line="276" w:lineRule="auto"/>
              <w:ind w:left="0" w:leftChars="0"/>
              <w:rPr>
                <w:rFonts w:ascii="仿宋_GB2312" w:hAnsi="宋体" w:eastAsia="仿宋_GB2312"/>
                <w:b/>
                <w:bCs/>
                <w:spacing w:val="6"/>
                <w:kern w:val="11"/>
                <w:sz w:val="24"/>
              </w:rPr>
            </w:pPr>
            <w:r>
              <w:rPr>
                <w:rFonts w:hint="eastAsia" w:ascii="仿宋_GB2312" w:hAnsi="宋体" w:eastAsia="仿宋_GB2312"/>
                <w:b/>
                <w:bCs/>
                <w:spacing w:val="6"/>
                <w:kern w:val="11"/>
                <w:sz w:val="24"/>
              </w:rPr>
              <w:t xml:space="preserve">   10.按时付款</w:t>
            </w:r>
          </w:p>
          <w:p>
            <w:pPr>
              <w:pStyle w:val="11"/>
              <w:adjustRightInd w:val="0"/>
              <w:snapToGrid w:val="0"/>
              <w:spacing w:line="276" w:lineRule="auto"/>
              <w:ind w:left="0" w:leftChars="0" w:firstLine="444"/>
              <w:rPr>
                <w:rFonts w:ascii="仿宋_GB2312" w:hAnsi="宋体" w:eastAsia="仿宋_GB2312"/>
                <w:spacing w:val="6"/>
                <w:kern w:val="11"/>
                <w:sz w:val="24"/>
              </w:rPr>
            </w:pPr>
            <w:r>
              <w:rPr>
                <w:rFonts w:hint="eastAsia" w:ascii="仿宋_GB2312" w:hAnsi="宋体" w:eastAsia="仿宋_GB2312"/>
                <w:spacing w:val="6"/>
                <w:kern w:val="11"/>
                <w:sz w:val="24"/>
              </w:rPr>
              <w:t>按合同约定按时、足额地向工程咨询单位支付全过程咨询费。</w:t>
            </w:r>
          </w:p>
          <w:p>
            <w:pPr>
              <w:pStyle w:val="11"/>
              <w:adjustRightInd w:val="0"/>
              <w:snapToGrid w:val="0"/>
              <w:spacing w:line="276" w:lineRule="auto"/>
              <w:ind w:left="0" w:leftChars="0"/>
              <w:rPr>
                <w:rFonts w:ascii="仿宋_GB2312" w:hAnsi="宋体" w:eastAsia="仿宋_GB2312"/>
                <w:b/>
                <w:bCs/>
                <w:spacing w:val="6"/>
                <w:kern w:val="11"/>
                <w:sz w:val="24"/>
              </w:rPr>
            </w:pPr>
            <w:bookmarkStart w:id="62" w:name="_Toc11197"/>
            <w:bookmarkEnd w:id="62"/>
            <w:r>
              <w:rPr>
                <w:rFonts w:hint="eastAsia" w:ascii="仿宋_GB2312" w:hAnsi="宋体" w:eastAsia="仿宋_GB2312"/>
                <w:b/>
                <w:bCs/>
                <w:spacing w:val="6"/>
                <w:kern w:val="11"/>
                <w:sz w:val="24"/>
              </w:rPr>
              <w:t>11.全过程咨询费</w:t>
            </w:r>
          </w:p>
          <w:p>
            <w:pPr>
              <w:pStyle w:val="11"/>
              <w:adjustRightInd w:val="0"/>
              <w:snapToGrid w:val="0"/>
              <w:spacing w:line="276" w:lineRule="auto"/>
              <w:ind w:left="0" w:leftChars="0" w:firstLine="528"/>
              <w:rPr>
                <w:rFonts w:hint="eastAsia" w:ascii="仿宋_GB2312" w:hAnsi="宋体" w:eastAsia="仿宋_GB2312"/>
                <w:spacing w:val="6"/>
                <w:kern w:val="11"/>
                <w:sz w:val="24"/>
              </w:rPr>
            </w:pPr>
            <w:r>
              <w:rPr>
                <w:rFonts w:hint="eastAsia" w:ascii="仿宋_GB2312" w:hAnsi="宋体" w:eastAsia="仿宋_GB2312"/>
                <w:spacing w:val="6"/>
                <w:kern w:val="11"/>
                <w:sz w:val="24"/>
              </w:rPr>
              <w:t>11.1全过程咨询费包括了为实施和完成本项目全部建设工程咨询内容所进行的技术咨询和工程监理及其相关服务所需的劳务费、技术服务费、仪器设备设施费、应委托人要求节假日期间安排人员在岗值班产生的加班费、管理费、保险费、规费、税金和利润等全部相关费用。</w:t>
            </w:r>
          </w:p>
          <w:p>
            <w:pPr>
              <w:pStyle w:val="11"/>
              <w:adjustRightInd w:val="0"/>
              <w:snapToGrid w:val="0"/>
              <w:spacing w:line="276" w:lineRule="auto"/>
              <w:ind w:left="0" w:leftChars="0" w:firstLine="528"/>
              <w:rPr>
                <w:rFonts w:ascii="仿宋_GB2312" w:hAnsi="宋体" w:eastAsia="仿宋_GB2312"/>
                <w:spacing w:val="6"/>
                <w:kern w:val="11"/>
                <w:sz w:val="24"/>
              </w:rPr>
            </w:pPr>
            <w:r>
              <w:rPr>
                <w:rFonts w:hint="eastAsia" w:ascii="仿宋_GB2312" w:hAnsi="宋体" w:eastAsia="仿宋_GB2312"/>
                <w:spacing w:val="6"/>
                <w:kern w:val="11"/>
                <w:sz w:val="24"/>
              </w:rPr>
              <w:t>11.2 依据项目招标文件全过程工程咨询费用的测算依据及中标下浮率，按实结算和支付咨询费用。</w:t>
            </w:r>
          </w:p>
          <w:p>
            <w:pPr>
              <w:pStyle w:val="28"/>
              <w:adjustRightInd w:val="0"/>
              <w:snapToGrid w:val="0"/>
              <w:spacing w:line="276" w:lineRule="auto"/>
              <w:ind w:left="0" w:leftChars="0" w:firstLine="529" w:firstLineChars="210"/>
              <w:rPr>
                <w:rFonts w:hint="eastAsia" w:ascii="仿宋_GB2312" w:hAnsi="宋体" w:eastAsia="仿宋_GB2312"/>
                <w:spacing w:val="6"/>
                <w:kern w:val="11"/>
                <w:sz w:val="24"/>
              </w:rPr>
            </w:pPr>
            <w:r>
              <w:rPr>
                <w:rFonts w:hint="eastAsia" w:ascii="仿宋_GB2312" w:hAnsi="宋体" w:eastAsia="仿宋_GB2312"/>
                <w:spacing w:val="6"/>
                <w:kern w:val="11"/>
                <w:sz w:val="24"/>
              </w:rPr>
              <w:t>11.3结算时，结算价不超合同暂定价，并符合现行法律法规规定。</w:t>
            </w:r>
          </w:p>
          <w:p>
            <w:pPr>
              <w:pStyle w:val="11"/>
              <w:adjustRightInd w:val="0"/>
              <w:snapToGrid w:val="0"/>
              <w:spacing w:line="276" w:lineRule="auto"/>
              <w:ind w:left="0" w:leftChars="0"/>
              <w:rPr>
                <w:rFonts w:ascii="仿宋_GB2312" w:hAnsi="宋体" w:eastAsia="仿宋_GB2312"/>
                <w:b/>
                <w:spacing w:val="6"/>
                <w:kern w:val="11"/>
                <w:sz w:val="24"/>
              </w:rPr>
            </w:pPr>
            <w:r>
              <w:rPr>
                <w:rFonts w:hint="eastAsia" w:ascii="仿宋_GB2312" w:hAnsi="宋体" w:eastAsia="仿宋_GB2312"/>
                <w:b/>
                <w:bCs/>
                <w:spacing w:val="6"/>
                <w:kern w:val="11"/>
                <w:sz w:val="24"/>
              </w:rPr>
              <w:t>12.咨询费的支付</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bookmarkStart w:id="63" w:name="_Toc29278"/>
            <w:r>
              <w:rPr>
                <w:rFonts w:hint="eastAsia" w:ascii="仿宋_GB2312" w:hAnsi="宋体" w:eastAsia="仿宋_GB2312"/>
                <w:spacing w:val="6"/>
                <w:kern w:val="11"/>
                <w:sz w:val="24"/>
              </w:rPr>
              <w:t>委托人应按合同约定的金额将咨询费用及时支付给全过程工程咨询人。如全过程工程咨询人为联合体，委托人将咨询费用支付给联合体牵头人，牵头人按照联合体共同投标协议约定的费用分成分别支付给各联合体成员。</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委托人在收到付款申请书后15日内办理完审批手续并提交财政部门，所有费用由财政部门以转账方式予以支付，委托人不承担非委托人原因引起的支付延误责任。</w:t>
            </w:r>
          </w:p>
          <w:p>
            <w:pPr>
              <w:pStyle w:val="11"/>
              <w:adjustRightInd w:val="0"/>
              <w:snapToGrid w:val="0"/>
              <w:spacing w:line="276" w:lineRule="auto"/>
              <w:ind w:left="0" w:leftChars="0" w:firstLine="529" w:firstLineChars="210"/>
              <w:rPr>
                <w:rFonts w:ascii="仿宋_GB2312" w:hAnsi="仿宋_GB2312" w:eastAsia="仿宋_GB2312" w:cs="仿宋_GB2312"/>
                <w:bCs/>
                <w:sz w:val="24"/>
              </w:rPr>
            </w:pPr>
            <w:r>
              <w:rPr>
                <w:rFonts w:hint="eastAsia" w:ascii="仿宋_GB2312" w:hAnsi="宋体" w:eastAsia="仿宋_GB2312"/>
                <w:spacing w:val="6"/>
                <w:kern w:val="11"/>
                <w:sz w:val="24"/>
              </w:rPr>
              <w:t>12.1酬金的支付:</w:t>
            </w:r>
            <w:r>
              <w:rPr>
                <w:rFonts w:hint="eastAsia" w:ascii="仿宋_GB2312" w:hAnsi="仿宋_GB2312" w:eastAsia="仿宋_GB2312" w:cs="仿宋_GB2312"/>
                <w:bCs/>
                <w:sz w:val="24"/>
              </w:rPr>
              <w:t>按项目节点分阶段支付。</w:t>
            </w:r>
          </w:p>
          <w:p>
            <w:pPr>
              <w:spacing w:line="440" w:lineRule="exact"/>
              <w:ind w:firstLine="240" w:firstLineChars="100"/>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（1）咨询合同签订后7 个工作日内，招标人支付咨询服务费合同暂定价的 20 %。</w:t>
            </w:r>
          </w:p>
          <w:p>
            <w:pPr>
              <w:spacing w:line="440" w:lineRule="exact"/>
              <w:ind w:firstLine="240" w:firstLineChars="100"/>
              <w:rPr>
                <w:rFonts w:ascii="仿宋_GB2312" w:hAnsi="仿宋_GB2312" w:eastAsia="仿宋_GB2312" w:cs="仿宋_GB2312"/>
                <w:bCs/>
                <w:kern w:val="0"/>
                <w:sz w:val="24"/>
              </w:rPr>
            </w:pPr>
            <w:r>
              <w:rPr>
                <w:rFonts w:hint="eastAsia" w:ascii="仿宋_GB2312" w:hAnsi="仿宋_GB2312" w:eastAsia="仿宋_GB2312" w:cs="仿宋_GB2312"/>
                <w:bCs/>
                <w:kern w:val="0"/>
                <w:sz w:val="24"/>
              </w:rPr>
              <w:t>（2）完成拟需设计的项目施工图纸、编制完成招标控制价后，支付合同暂定价的 30 %。</w:t>
            </w:r>
          </w:p>
          <w:p>
            <w:pPr>
              <w:spacing w:line="440" w:lineRule="exact"/>
              <w:ind w:firstLine="240" w:firstLineChars="100"/>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（3）完成项目施工招标、监理人员进场、签发施工开工令后，支付合同暂定价的 30 %。</w:t>
            </w:r>
          </w:p>
          <w:p>
            <w:pPr>
              <w:spacing w:line="440" w:lineRule="exact"/>
              <w:ind w:firstLine="240" w:firstLineChars="100"/>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（4）招标人拟需进行的全过程工程咨询服务项目全部竣工验收完或所在工程经办人签字确认后，招标人支付至咨询服务费结算价的100%。</w:t>
            </w:r>
          </w:p>
          <w:p>
            <w:pPr>
              <w:pStyle w:val="11"/>
              <w:adjustRightInd w:val="0"/>
              <w:snapToGrid w:val="0"/>
              <w:spacing w:before="156" w:beforeLines="50"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12.2违约金的扣除:</w:t>
            </w:r>
          </w:p>
          <w:p>
            <w:pPr>
              <w:pStyle w:val="11"/>
              <w:adjustRightInd w:val="0"/>
              <w:snapToGrid w:val="0"/>
              <w:spacing w:line="276" w:lineRule="auto"/>
              <w:ind w:left="0" w:leftChars="0" w:firstLine="504" w:firstLineChars="210"/>
              <w:rPr>
                <w:rFonts w:ascii="仿宋_GB2312" w:hAnsi="仿宋_GB2312" w:eastAsia="仿宋_GB2312" w:cs="仿宋_GB2312"/>
                <w:bCs/>
                <w:sz w:val="24"/>
              </w:rPr>
            </w:pPr>
            <w:r>
              <w:rPr>
                <w:rFonts w:hint="eastAsia" w:ascii="仿宋_GB2312" w:hAnsi="仿宋_GB2312" w:eastAsia="仿宋_GB2312" w:cs="仿宋_GB2312"/>
                <w:bCs/>
                <w:sz w:val="24"/>
              </w:rPr>
              <w:t>违约金的扣除，按本合同违约条款计算的违约金将在全过程工程咨询人申请的上述全过程工程咨询服务费中及时予以扣除，不足部分将由全过程工程咨询人继续清偿。</w:t>
            </w:r>
          </w:p>
          <w:bookmarkEnd w:id="63"/>
          <w:p>
            <w:pPr>
              <w:pStyle w:val="11"/>
              <w:adjustRightInd w:val="0"/>
              <w:snapToGrid w:val="0"/>
              <w:spacing w:after="156" w:afterLines="50" w:line="240" w:lineRule="auto"/>
              <w:ind w:left="0" w:leftChars="0"/>
              <w:jc w:val="center"/>
              <w:rPr>
                <w:b/>
                <w:bCs/>
                <w:sz w:val="44"/>
                <w:szCs w:val="44"/>
              </w:rPr>
            </w:pPr>
            <w:r>
              <w:rPr>
                <w:rFonts w:hint="eastAsia"/>
                <w:b/>
                <w:bCs/>
                <w:sz w:val="44"/>
                <w:szCs w:val="44"/>
              </w:rPr>
              <w:t>六、违约责任</w:t>
            </w:r>
          </w:p>
          <w:p>
            <w:pPr>
              <w:pStyle w:val="6"/>
              <w:widowControl/>
              <w:numPr>
                <w:ilvl w:val="5"/>
                <w:numId w:val="0"/>
              </w:numPr>
              <w:tabs>
                <w:tab w:val="left" w:pos="1152"/>
              </w:tabs>
              <w:spacing w:line="360" w:lineRule="auto"/>
              <w:ind w:left="-432" w:firstLine="964" w:firstLineChars="400"/>
              <w:jc w:val="left"/>
              <w:rPr>
                <w:rFonts w:ascii="仿宋_GB2312" w:hAnsi="宋体" w:eastAsia="仿宋_GB2312"/>
                <w:b/>
                <w:sz w:val="24"/>
                <w:szCs w:val="24"/>
              </w:rPr>
            </w:pPr>
            <w:r>
              <w:rPr>
                <w:rFonts w:hint="eastAsia" w:ascii="仿宋_GB2312" w:hAnsi="宋体" w:eastAsia="仿宋_GB2312"/>
                <w:b/>
                <w:sz w:val="24"/>
                <w:szCs w:val="24"/>
              </w:rPr>
              <w:t>13.工程咨询单位的违约责任</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咨询单位应在合同签订20日内，编制项目任务计划书，以下所有违约日期认定，以任务计划书所列时间节点起算，任务计划书本身延期的，需向发包人支付违约金0.2万元/天（经委托人认可的事项，可以延期）；</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13.1工程咨询单位无任何理由部分或全部不履行合同中应承担的义务时，委托人有权根据其具体情况扣除应支付给工程咨询单位的工程咨询费或者没收其全部（或部分）履约保证金。</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13.2工程咨询单位违反规定而使委托人增加费用和遭受损失时，工程咨询单位应赔偿给委托人造成的损失。</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13.3工程咨询单位应当严格依照有关法律、法规、技术标准以及设计文件、建设工程承包合同、工程咨询合同、造价咨询合同、设计合同等，对工程施工质量实施项目管理和监理，并对施工质量和安全承担项目管理及监理责任。</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13.4因工程咨询单位过失导致工程质量缺陷、工程质量事故、安全事故的，工程咨询单位除承担相应的赔偿责任外，还将依法承担相应的行政、法律责任。</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13.5工程咨询单位对项目总投资控制负有责任，如因工程咨询单位的责任造成项目总投资超过政府批准的计划投资，则对工程咨询单位处违约金，数额为超过部分金额×工程咨询费率（工程咨询费率=各项目合同价/招标文件载明的各项目建筑安装工程费×100%）。</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13.6工程咨询单位应当严格依照有关法律、法规、技术标准以及设计文件、设计合同、项目策划和管理合同，对工程所有前期工作实施项目策划和管理，并对设计质量承担管理和监理责任。</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13.7工程咨询单位对项目设计进度控制负有责任，如因工程咨询单位的责任造成项目设计进度拖延，则每延期1天处违约金0.2万元，延期违约金最高限额为5万。</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13.8如因工程咨询单位原因使工程进度受到延迟，工程咨询单位应主动采取合理补救措施，或按委托人要求的时间采取合理之补救措施，否则委托人有权从本合同中摘取部分工作另行委托其他单位进行，并从工程咨询单位的合同价款中扣除该部分之合理费用；委托人委托其他单位进行工作并不影响委托人行使解除合同之权利；</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13.9工程咨询单位不能采取有效措施以实现建设工程质量、进度和投资控制的目标，或合同、信息管理不力，或未能有效协调工程建设相关方的关系，或未履行建设工程安全生产管理法定职责时，委托人可以视工程咨询单位及其项目组织机构未尽相应合同义务，不予支付相应部分的工程咨询费用，额度上限分别为：工程质量为合同价的30%、进度为合同价的20%、投资控制为合同价的40%。</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13.10工程咨询单位更换项目主要负责人（项目总负责人、设计管理负责人、总监理工程师、造价合约管理负责人）应取得委托人的书面同意除因涉嫌犯罪被羁押或判刑、死亡原因外，承包人更换设计管理负责人、造价合约管理负责人的（含发包人要求更换），须向发包人支付违约金：按签约合同价的</w:t>
            </w:r>
            <w:r>
              <w:rPr>
                <w:rFonts w:ascii="仿宋_GB2312" w:hAnsi="宋体" w:eastAsia="仿宋_GB2312"/>
                <w:spacing w:val="6"/>
                <w:kern w:val="11"/>
                <w:sz w:val="24"/>
              </w:rPr>
              <w:t>2.5%</w:t>
            </w:r>
            <w:r>
              <w:rPr>
                <w:rFonts w:hint="eastAsia" w:ascii="仿宋_GB2312" w:hAnsi="宋体" w:eastAsia="仿宋_GB2312"/>
                <w:spacing w:val="6"/>
                <w:kern w:val="11"/>
                <w:sz w:val="24"/>
              </w:rPr>
              <w:t>。除因涉嫌犯罪被羁押或判刑、死亡原因外，承包人每更换一次项目总负责人、总监理工程师的（含发包人要求更换），应按签约合同价的</w:t>
            </w:r>
            <w:r>
              <w:rPr>
                <w:rFonts w:ascii="仿宋_GB2312" w:hAnsi="宋体" w:eastAsia="仿宋_GB2312"/>
                <w:spacing w:val="6"/>
                <w:kern w:val="11"/>
                <w:sz w:val="24"/>
              </w:rPr>
              <w:t>5%</w:t>
            </w:r>
            <w:r>
              <w:rPr>
                <w:rFonts w:hint="eastAsia" w:ascii="仿宋_GB2312" w:hAnsi="宋体" w:eastAsia="仿宋_GB2312"/>
                <w:spacing w:val="6"/>
                <w:kern w:val="11"/>
                <w:sz w:val="24"/>
              </w:rPr>
              <w:t>委托人将给予扣减监理费作为违约金。如承包人未能按合同要求尽职履约，发包人书面提出更换项目主要负责人（项目总负责人、设计管理负责人、总监理工程师、造价合约管理负责人）要求，承包人拒不更换的，视为承包人严重违约。自发包人书面提出之日起，超过</w:t>
            </w:r>
            <w:r>
              <w:rPr>
                <w:rFonts w:ascii="仿宋_GB2312" w:hAnsi="宋体" w:eastAsia="仿宋_GB2312"/>
                <w:spacing w:val="6"/>
                <w:kern w:val="11"/>
                <w:sz w:val="24"/>
              </w:rPr>
              <w:t xml:space="preserve">20 </w:t>
            </w:r>
            <w:r>
              <w:rPr>
                <w:rFonts w:hint="eastAsia" w:ascii="仿宋_GB2312" w:hAnsi="宋体" w:eastAsia="仿宋_GB2312"/>
                <w:spacing w:val="6"/>
                <w:kern w:val="11"/>
                <w:sz w:val="24"/>
              </w:rPr>
              <w:t>天（含</w:t>
            </w:r>
            <w:r>
              <w:rPr>
                <w:rFonts w:ascii="仿宋_GB2312" w:hAnsi="宋体" w:eastAsia="仿宋_GB2312"/>
                <w:spacing w:val="6"/>
                <w:kern w:val="11"/>
                <w:sz w:val="24"/>
              </w:rPr>
              <w:t xml:space="preserve">20 </w:t>
            </w:r>
            <w:r>
              <w:rPr>
                <w:rFonts w:hint="eastAsia" w:ascii="仿宋_GB2312" w:hAnsi="宋体" w:eastAsia="仿宋_GB2312"/>
                <w:spacing w:val="6"/>
                <w:kern w:val="11"/>
                <w:sz w:val="24"/>
              </w:rPr>
              <w:t>天），承包人应向发包人支付违约金：上述违约金标准×</w:t>
            </w:r>
            <w:r>
              <w:rPr>
                <w:rFonts w:ascii="仿宋_GB2312" w:hAnsi="宋体" w:eastAsia="仿宋_GB2312"/>
                <w:spacing w:val="6"/>
                <w:kern w:val="11"/>
                <w:sz w:val="24"/>
              </w:rPr>
              <w:t xml:space="preserve">1.5 </w:t>
            </w:r>
            <w:r>
              <w:rPr>
                <w:rFonts w:hint="eastAsia" w:ascii="仿宋_GB2312" w:hAnsi="宋体" w:eastAsia="仿宋_GB2312"/>
                <w:spacing w:val="6"/>
                <w:kern w:val="11"/>
                <w:sz w:val="24"/>
              </w:rPr>
              <w:t>倍。发包人有权单方解除合同，没收承包人履约保函，并要求承包人承担由此造成的一切损失。更换项目经理期间延误的工期不予顺延，所有费用由承包人承担，给发包人造成的损失由承包人承担。</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13.11工程咨询单位须在服务期间保证项目组织机构人员的稳定。工程咨询单位提交的工程咨询单位人员名单经委托人确认后，在项目实施的全过程，工程咨询单位不能随意撤换（人员怀孕、重大疾病或退休等特殊情况除外，但须经委托人同意），如有更换须向发包人支付违约金 0.5万元/次/人，如有擅自更换，须向发包人支付违约金0.5万元/人/次；</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13.12委托人按照工程咨询人投标文件内《拟投入本项目人员情况及进场时间一览表》对其所派工程咨询人员进行考勤。如果工程咨询人员未达到承诺的服务时间，将按时间从工程咨询费中扣回相应的薪金。工程咨询人员必须有完善的考勤管理记录，委托人支付进度款或双方结算时，考勤管理记录可作为付款或结算的凭证之一。委托人有权随时检查工程咨询人员在岗情况，如果委托人发现项目组织机构无考勤管理记录，委托人可以不支付该阶段的工程咨询费用；如发现考勤管理记录有造假情况，每人次对工程咨询人处违约金1万元。如果工程咨询人对承诺的人员数量及安排擅自作了变化，则就变动总人数按照不在岗的办法予以处罚（事后征得委托人书面追认同意的情况除外）。如果不在岗的工程咨询人员一天超过两人或不在岗的记录超过10人次，视为重大违约，委托人有权发出整改通知。若委托人第二次以书面形式发出整改通知后7天内未收到工程咨询人书面形式的合理解释，有权提前解除合同。</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13.13委托人认为工程咨询单位人员有违反“廉政守则”嫌疑时，工程咨询单位须更换相关工程咨询单位人员。如工程咨询单位人员违反“廉政守则”，第一次出现时对工程咨询单位处违约金0.5万元，第二次出现时追究项目经理的相应责任并对工程咨询单位再处违约金1万元，出现三次以上的，视为工程咨询单位重大违约，委托人有权解除本合同；</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13.14仪器和工具必须在工程咨询过程中予以落实，委托人在现场检查过程中，若发现因仪器或工具不到位造成现场检查部位没按时检查到位或实测实量检测数量不够，对工程咨询单位处违约金1000元/次；</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13.15如因工程咨询单位派驻的项目组织机构的工作失误,造成工程实施过程中委托人向工程咨询单位或其他承包人开展的索赔或审核无证据支持或过期等,对工程咨询单位处违约金2000元/次；</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13.16工程咨询单位未尽职责被政府有关部门处罚的（如通报批评、警告、罚款或媒体披露等），对工程咨询单位处违约金5000元/次；</w:t>
            </w:r>
          </w:p>
          <w:p>
            <w:pPr>
              <w:ind w:firstLine="504" w:firstLineChars="200"/>
              <w:rPr>
                <w:rFonts w:ascii="仿宋_GB2312" w:hAnsi="宋体" w:eastAsia="仿宋_GB2312"/>
                <w:spacing w:val="6"/>
                <w:kern w:val="11"/>
                <w:sz w:val="24"/>
              </w:rPr>
            </w:pPr>
            <w:r>
              <w:rPr>
                <w:rFonts w:hint="eastAsia" w:ascii="仿宋_GB2312" w:hAnsi="宋体" w:eastAsia="仿宋_GB2312"/>
                <w:spacing w:val="6"/>
                <w:kern w:val="11"/>
                <w:sz w:val="24"/>
              </w:rPr>
              <w:t>13.17除不可抗力因素外，若施工过程中，由于工程咨询单位对安全、质量控制不到位而发生的重大质量事故或安全事故（属于工程咨询单位责任的），对工程咨询单位处违约金，依据相关法律法规处理。</w:t>
            </w:r>
          </w:p>
          <w:p>
            <w:pPr>
              <w:ind w:firstLine="504" w:firstLineChars="200"/>
              <w:rPr>
                <w:rFonts w:ascii="仿宋_GB2312" w:hAnsi="宋体" w:eastAsia="仿宋_GB2312"/>
                <w:spacing w:val="6"/>
                <w:kern w:val="11"/>
                <w:sz w:val="24"/>
              </w:rPr>
            </w:pPr>
            <w:r>
              <w:rPr>
                <w:rFonts w:hint="eastAsia" w:ascii="仿宋_GB2312" w:hAnsi="宋体" w:eastAsia="仿宋_GB2312"/>
                <w:spacing w:val="6"/>
                <w:kern w:val="11"/>
                <w:sz w:val="24"/>
              </w:rPr>
              <w:t>13.18工程咨询单位未尽职责做好投资控制工作，包括工程量审核、单价审定、工程计量、工程结算等，对工程咨询单位处0.5万元/次以下违约金，如合同条件中有明确的处罚标准，则执行相应的处罚条款；</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13.19关键工序工程咨询单位必须派相关人员巡视或旁站，需要相关人员巡检而未巡检的，不随巡检的500元/次，不随旁站的500元/次；</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13.20工程咨询单位未尽职责放行或未发现不合格材料设备或不符合招标文件要求的材料设备，但在委托人组织的检查中发现了承包人使用了上述材料设备，对工程咨询单位处额度为涉案材料设备价款10%的违约金，但不超过合同价的30%；</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13.21工程咨询单位未按现行《建设工程监理规范》、或未按其编制的《监理规划》、《监理实施细则》开展监理及相关服务工作的，委托人将视其情节轻重情况对工程咨询单位处2万元/次以下违约金，如合同条件中有明确的处罚标准，则执行相应的处罚条款；</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13.22在保修服务阶段，因保修服务不到位等原因造成使用单位投诉且工程咨询单位需承担相关责任时，对工程咨询单位处违约金2000元/次；</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13.23若工程咨询单位泄露委托人要求保密的内容和资料，造成不良后果和损失的，赔偿由此给委托人造成的损失，并处违约金1万元；触犯法律的负法律责任。</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13.24 对上访、突发事件、舆情处置不利，造成恶劣影响的（如通报、警告、媒体介入等），处违约金5000元/次；</w:t>
            </w:r>
          </w:p>
          <w:p>
            <w:pPr>
              <w:pStyle w:val="11"/>
              <w:adjustRightInd w:val="0"/>
              <w:snapToGrid w:val="0"/>
              <w:spacing w:line="276" w:lineRule="auto"/>
              <w:ind w:left="0" w:leftChars="0"/>
              <w:rPr>
                <w:rFonts w:ascii="仿宋_GB2312" w:hAnsi="宋体" w:eastAsia="仿宋_GB2312"/>
                <w:b/>
                <w:spacing w:val="6"/>
                <w:kern w:val="11"/>
                <w:sz w:val="24"/>
              </w:rPr>
            </w:pPr>
            <w:r>
              <w:rPr>
                <w:rFonts w:hint="eastAsia" w:ascii="仿宋_GB2312" w:hAnsi="宋体" w:eastAsia="仿宋_GB2312"/>
                <w:b/>
                <w:spacing w:val="6"/>
                <w:kern w:val="11"/>
                <w:sz w:val="24"/>
              </w:rPr>
              <w:t>14.工程咨询单位主动更换工程咨询人员</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工程咨询单位可根据工程进展和工作需要调整项目组织机构人员。工程咨询单位更换项目总负责人、设计管理负责人、总监理工程师、造价合约管理负责人时，应提前7天向委托人书面报告，经委托人同意后方可更换；工程咨询单位更换项目组织机构其他工程咨询单位人员时，应通知委托人，经委托人同意后方可更换。工程咨询单位更换项目组织机构人员，均须以与被更换者具有同等资格与能力的人员进行替换。委托人同意上述更换并不免除对工程咨询单位处违约金。</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工程咨询单位应及时更换有下列情形之一的工程咨询单位人员：</w:t>
            </w:r>
          </w:p>
          <w:p>
            <w:pPr>
              <w:pStyle w:val="11"/>
              <w:adjustRightInd w:val="0"/>
              <w:snapToGrid w:val="0"/>
              <w:spacing w:line="276" w:lineRule="auto"/>
              <w:ind w:left="0" w:leftChars="0"/>
              <w:rPr>
                <w:rFonts w:ascii="仿宋_GB2312" w:hAnsi="宋体" w:eastAsia="仿宋_GB2312"/>
                <w:sz w:val="24"/>
              </w:rPr>
            </w:pPr>
            <w:r>
              <w:rPr>
                <w:rFonts w:hint="eastAsia" w:ascii="仿宋_GB2312" w:hAnsi="宋体" w:eastAsia="仿宋_GB2312"/>
                <w:sz w:val="24"/>
              </w:rPr>
              <w:t xml:space="preserve">    （1）有严重过失行为的；</w:t>
            </w:r>
          </w:p>
          <w:p>
            <w:pPr>
              <w:pStyle w:val="11"/>
              <w:adjustRightInd w:val="0"/>
              <w:snapToGrid w:val="0"/>
              <w:spacing w:line="276" w:lineRule="auto"/>
              <w:ind w:left="0" w:leftChars="0"/>
              <w:rPr>
                <w:rFonts w:ascii="仿宋_GB2312" w:hAnsi="宋体" w:eastAsia="仿宋_GB2312"/>
                <w:sz w:val="24"/>
              </w:rPr>
            </w:pPr>
            <w:r>
              <w:rPr>
                <w:rFonts w:hint="eastAsia" w:ascii="仿宋_GB2312" w:hAnsi="宋体" w:eastAsia="仿宋_GB2312"/>
                <w:sz w:val="24"/>
              </w:rPr>
              <w:t xml:space="preserve">    （2）有违法行为不能履行职责的；</w:t>
            </w:r>
          </w:p>
          <w:p>
            <w:pPr>
              <w:pStyle w:val="11"/>
              <w:adjustRightInd w:val="0"/>
              <w:snapToGrid w:val="0"/>
              <w:spacing w:line="276" w:lineRule="auto"/>
              <w:ind w:left="0" w:leftChars="0"/>
              <w:rPr>
                <w:rFonts w:ascii="仿宋_GB2312" w:hAnsi="宋体" w:eastAsia="仿宋_GB2312"/>
                <w:sz w:val="24"/>
              </w:rPr>
            </w:pPr>
            <w:r>
              <w:rPr>
                <w:rFonts w:hint="eastAsia" w:ascii="仿宋_GB2312" w:hAnsi="宋体" w:eastAsia="仿宋_GB2312"/>
                <w:sz w:val="24"/>
              </w:rPr>
              <w:t xml:space="preserve">    （3）涉嫌犯罪的；</w:t>
            </w:r>
          </w:p>
          <w:p>
            <w:pPr>
              <w:pStyle w:val="11"/>
              <w:adjustRightInd w:val="0"/>
              <w:snapToGrid w:val="0"/>
              <w:spacing w:line="276" w:lineRule="auto"/>
              <w:ind w:left="0" w:leftChars="0"/>
              <w:rPr>
                <w:rFonts w:ascii="仿宋_GB2312" w:hAnsi="宋体" w:eastAsia="仿宋_GB2312"/>
                <w:sz w:val="24"/>
              </w:rPr>
            </w:pPr>
            <w:r>
              <w:rPr>
                <w:rFonts w:hint="eastAsia" w:ascii="仿宋_GB2312" w:hAnsi="宋体" w:eastAsia="仿宋_GB2312"/>
                <w:sz w:val="24"/>
              </w:rPr>
              <w:t xml:space="preserve">    （4）不能胜任岗位职责的；</w:t>
            </w:r>
          </w:p>
          <w:p>
            <w:pPr>
              <w:pStyle w:val="11"/>
              <w:adjustRightInd w:val="0"/>
              <w:snapToGrid w:val="0"/>
              <w:spacing w:line="276" w:lineRule="auto"/>
              <w:ind w:left="0" w:leftChars="0"/>
              <w:rPr>
                <w:rFonts w:ascii="仿宋_GB2312" w:hAnsi="宋体" w:eastAsia="仿宋_GB2312"/>
                <w:b/>
                <w:spacing w:val="6"/>
                <w:kern w:val="11"/>
                <w:sz w:val="24"/>
              </w:rPr>
            </w:pPr>
            <w:r>
              <w:rPr>
                <w:rFonts w:hint="eastAsia" w:ascii="仿宋_GB2312" w:hAnsi="宋体" w:eastAsia="仿宋_GB2312"/>
                <w:sz w:val="24"/>
              </w:rPr>
              <w:t xml:space="preserve">    （5）严重违反职业道德的。</w:t>
            </w:r>
            <w:r>
              <w:rPr>
                <w:rFonts w:hint="eastAsia" w:ascii="仿宋_GB2312" w:hAnsi="宋体" w:eastAsia="仿宋_GB2312"/>
                <w:b/>
                <w:spacing w:val="6"/>
                <w:kern w:val="11"/>
                <w:sz w:val="24"/>
              </w:rPr>
              <w:t xml:space="preserve"> </w:t>
            </w:r>
          </w:p>
          <w:p>
            <w:pPr>
              <w:pStyle w:val="11"/>
              <w:adjustRightInd w:val="0"/>
              <w:snapToGrid w:val="0"/>
              <w:spacing w:line="276" w:lineRule="auto"/>
              <w:ind w:left="0" w:leftChars="0"/>
              <w:rPr>
                <w:rFonts w:ascii="仿宋_GB2312" w:hAnsi="宋体" w:eastAsia="仿宋_GB2312"/>
                <w:sz w:val="24"/>
              </w:rPr>
            </w:pPr>
            <w:r>
              <w:rPr>
                <w:rFonts w:hint="eastAsia" w:ascii="仿宋_GB2312" w:hAnsi="宋体" w:eastAsia="仿宋_GB2312"/>
                <w:b/>
                <w:spacing w:val="6"/>
                <w:kern w:val="11"/>
                <w:sz w:val="24"/>
              </w:rPr>
              <w:t>15.委托人要求更换工程咨询单位人员</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工程咨询单位应立即从本工程中撤换那些由工程咨询单位提供的、但委托人认为行为不端或不能胜任工作或玩忽职守的任何人员（包括但不限于项目总负责人、设计管理负责人、总监理工程师、造价合约管理负责人、各专业技术负责人和重要岗位负责人），或委托人认为在现场工作不合格的人员，而且上述人员未经委托人同意不得重新从事本工程工作。任何从本工程撤掉的上述人员应尽快代之以称职的并经委托人批准的人员至委托人满意为止。</w:t>
            </w:r>
          </w:p>
          <w:p>
            <w:pPr>
              <w:pStyle w:val="11"/>
              <w:adjustRightInd w:val="0"/>
              <w:snapToGrid w:val="0"/>
              <w:spacing w:line="276" w:lineRule="auto"/>
              <w:ind w:left="0" w:leftChars="0"/>
              <w:rPr>
                <w:rFonts w:ascii="仿宋_GB2312" w:hAnsi="宋体" w:eastAsia="仿宋_GB2312"/>
                <w:b/>
                <w:spacing w:val="6"/>
                <w:kern w:val="11"/>
                <w:sz w:val="24"/>
              </w:rPr>
            </w:pPr>
            <w:r>
              <w:rPr>
                <w:rFonts w:hint="eastAsia" w:ascii="仿宋_GB2312" w:hAnsi="宋体" w:eastAsia="仿宋_GB2312"/>
                <w:b/>
                <w:spacing w:val="6"/>
                <w:kern w:val="11"/>
                <w:sz w:val="24"/>
              </w:rPr>
              <w:t>16.委托人的违约责任</w:t>
            </w:r>
          </w:p>
          <w:p>
            <w:pPr>
              <w:pStyle w:val="11"/>
              <w:adjustRightInd w:val="0"/>
              <w:snapToGrid w:val="0"/>
              <w:spacing w:line="276" w:lineRule="auto"/>
              <w:ind w:left="0" w:leftChars="0" w:firstLine="444"/>
              <w:rPr>
                <w:rFonts w:ascii="仿宋_GB2312" w:hAnsi="宋体" w:eastAsia="仿宋_GB2312"/>
                <w:spacing w:val="6"/>
                <w:kern w:val="11"/>
                <w:sz w:val="24"/>
              </w:rPr>
            </w:pPr>
            <w:r>
              <w:rPr>
                <w:rFonts w:hint="eastAsia" w:ascii="仿宋_GB2312" w:hAnsi="宋体" w:eastAsia="仿宋_GB2312"/>
                <w:spacing w:val="6"/>
                <w:kern w:val="11"/>
                <w:sz w:val="24"/>
              </w:rPr>
              <w:t>若因国家、省、市政策性原因或涉外因素等（包括但不限于）导致工程停工（含个别项目取消建设）并终止合同时，委托人应支付工程咨询单位到终止合同当月（含当月）所有应付给工程咨询单位的相应费用，具体由双方依据已完成的阶段任务协商解决，办理结算，工程咨询单位不得进行索赔。</w:t>
            </w:r>
          </w:p>
          <w:p>
            <w:pPr>
              <w:pStyle w:val="11"/>
              <w:adjustRightInd w:val="0"/>
              <w:snapToGrid w:val="0"/>
              <w:spacing w:line="276" w:lineRule="auto"/>
              <w:ind w:left="0" w:leftChars="0"/>
              <w:rPr>
                <w:rFonts w:ascii="仿宋_GB2312" w:hAnsi="宋体" w:eastAsia="仿宋_GB2312"/>
                <w:b/>
                <w:spacing w:val="6"/>
                <w:kern w:val="11"/>
                <w:sz w:val="24"/>
              </w:rPr>
            </w:pPr>
            <w:r>
              <w:rPr>
                <w:rFonts w:hint="eastAsia" w:ascii="仿宋_GB2312" w:hAnsi="宋体" w:eastAsia="仿宋_GB2312"/>
                <w:b/>
                <w:spacing w:val="6"/>
                <w:kern w:val="11"/>
                <w:sz w:val="24"/>
              </w:rPr>
              <w:t>17.除外责任</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非因工程咨询单位的原因，且工程咨询单位无过错或过失，发生工程质量事故、安全事故、工期延误等造成的损失，工程咨询单位不承担赔偿责任。</w:t>
            </w:r>
          </w:p>
          <w:p>
            <w:pPr>
              <w:pStyle w:val="11"/>
              <w:adjustRightInd w:val="0"/>
              <w:snapToGrid w:val="0"/>
              <w:spacing w:line="276" w:lineRule="auto"/>
              <w:ind w:left="0" w:leftChars="0" w:firstLine="529" w:firstLineChars="210"/>
              <w:rPr>
                <w:rFonts w:ascii="宋体" w:hAnsi="宋体"/>
                <w:spacing w:val="6"/>
                <w:kern w:val="11"/>
                <w:szCs w:val="21"/>
              </w:rPr>
            </w:pPr>
            <w:r>
              <w:rPr>
                <w:rFonts w:hint="eastAsia" w:ascii="仿宋_GB2312" w:hAnsi="宋体" w:eastAsia="仿宋_GB2312"/>
                <w:spacing w:val="6"/>
                <w:kern w:val="11"/>
                <w:sz w:val="24"/>
              </w:rPr>
              <w:t>因不可抗力导致本合同全部或部分不能履行时，双方各自承担因此而造成的损失、损害。</w:t>
            </w:r>
            <w:bookmarkStart w:id="64" w:name="_Toc1857"/>
            <w:bookmarkStart w:id="65" w:name="_Toc5104"/>
            <w:bookmarkStart w:id="66" w:name="_Toc31766"/>
          </w:p>
          <w:bookmarkEnd w:id="64"/>
          <w:bookmarkEnd w:id="65"/>
          <w:bookmarkEnd w:id="66"/>
          <w:p>
            <w:pPr>
              <w:pStyle w:val="11"/>
              <w:adjustRightInd w:val="0"/>
              <w:snapToGrid w:val="0"/>
              <w:spacing w:line="360" w:lineRule="auto"/>
              <w:ind w:left="0" w:leftChars="0"/>
              <w:jc w:val="center"/>
              <w:rPr>
                <w:b/>
                <w:bCs/>
                <w:sz w:val="44"/>
                <w:szCs w:val="44"/>
              </w:rPr>
            </w:pPr>
            <w:r>
              <w:rPr>
                <w:rFonts w:hint="eastAsia"/>
                <w:b/>
                <w:bCs/>
                <w:sz w:val="44"/>
                <w:szCs w:val="44"/>
              </w:rPr>
              <w:t>七、合同的变更</w:t>
            </w:r>
          </w:p>
          <w:p>
            <w:pPr>
              <w:pStyle w:val="6"/>
              <w:widowControl/>
              <w:numPr>
                <w:ilvl w:val="5"/>
                <w:numId w:val="0"/>
              </w:numPr>
              <w:tabs>
                <w:tab w:val="left" w:pos="1152"/>
              </w:tabs>
              <w:spacing w:after="60" w:line="360" w:lineRule="auto"/>
              <w:ind w:left="-432" w:firstLine="723" w:firstLineChars="300"/>
              <w:jc w:val="left"/>
              <w:rPr>
                <w:rFonts w:ascii="仿宋_GB2312" w:hAnsi="宋体" w:eastAsia="仿宋_GB2312"/>
                <w:b/>
                <w:sz w:val="24"/>
                <w:szCs w:val="24"/>
              </w:rPr>
            </w:pPr>
            <w:r>
              <w:rPr>
                <w:rFonts w:hint="eastAsia" w:ascii="仿宋_GB2312" w:hAnsi="宋体" w:eastAsia="仿宋_GB2312"/>
                <w:b/>
                <w:sz w:val="24"/>
                <w:szCs w:val="24"/>
              </w:rPr>
              <w:t xml:space="preserve"> 18.协商变更</w:t>
            </w:r>
          </w:p>
          <w:p>
            <w:pPr>
              <w:pStyle w:val="11"/>
              <w:adjustRightInd w:val="0"/>
              <w:snapToGrid w:val="0"/>
              <w:spacing w:line="360" w:lineRule="auto"/>
              <w:ind w:left="0" w:leftChars="0" w:firstLine="504" w:firstLineChars="210"/>
              <w:rPr>
                <w:rFonts w:ascii="仿宋_GB2312" w:hAnsi="宋体" w:eastAsia="仿宋_GB2312"/>
                <w:sz w:val="24"/>
              </w:rPr>
            </w:pPr>
            <w:r>
              <w:rPr>
                <w:rFonts w:hint="eastAsia" w:ascii="仿宋_GB2312" w:hAnsi="宋体" w:eastAsia="仿宋_GB2312"/>
                <w:sz w:val="24"/>
              </w:rPr>
              <w:t>任何一方提出变更请求时，双方经协商一致后可进行变更。</w:t>
            </w:r>
          </w:p>
          <w:p>
            <w:pPr>
              <w:pStyle w:val="6"/>
              <w:widowControl/>
              <w:numPr>
                <w:ilvl w:val="5"/>
                <w:numId w:val="0"/>
              </w:numPr>
              <w:tabs>
                <w:tab w:val="left" w:pos="1152"/>
              </w:tabs>
              <w:spacing w:after="60" w:line="360" w:lineRule="auto"/>
              <w:ind w:left="-432" w:firstLine="723" w:firstLineChars="300"/>
              <w:jc w:val="left"/>
              <w:rPr>
                <w:rFonts w:ascii="仿宋_GB2312" w:hAnsi="宋体" w:eastAsia="仿宋_GB2312"/>
                <w:b/>
                <w:sz w:val="24"/>
                <w:szCs w:val="24"/>
              </w:rPr>
            </w:pPr>
            <w:r>
              <w:rPr>
                <w:rFonts w:hint="eastAsia" w:ascii="仿宋_GB2312" w:hAnsi="宋体" w:eastAsia="仿宋_GB2312"/>
                <w:b/>
                <w:sz w:val="24"/>
                <w:szCs w:val="24"/>
              </w:rPr>
              <w:t>19.服务时间的延长或缩短</w:t>
            </w:r>
          </w:p>
          <w:p>
            <w:pPr>
              <w:pStyle w:val="11"/>
              <w:adjustRightInd w:val="0"/>
              <w:snapToGrid w:val="0"/>
              <w:spacing w:line="360" w:lineRule="auto"/>
              <w:ind w:left="0" w:leftChars="0"/>
              <w:rPr>
                <w:rFonts w:ascii="仿宋_GB2312" w:hAnsi="宋体" w:eastAsia="仿宋_GB2312"/>
                <w:sz w:val="24"/>
              </w:rPr>
            </w:pPr>
            <w:r>
              <w:rPr>
                <w:rFonts w:hint="eastAsia" w:ascii="仿宋_GB2312" w:hAnsi="宋体" w:eastAsia="仿宋_GB2312"/>
                <w:sz w:val="24"/>
              </w:rPr>
              <w:t xml:space="preserve">    工程咨询时间应根据工程进度的实际情况予以延长或缩短，但工程咨询费用不随工程咨询时间的延长或缩短而增加或减少。</w:t>
            </w:r>
          </w:p>
          <w:p>
            <w:pPr>
              <w:pStyle w:val="6"/>
              <w:widowControl/>
              <w:numPr>
                <w:ilvl w:val="5"/>
                <w:numId w:val="0"/>
              </w:numPr>
              <w:tabs>
                <w:tab w:val="left" w:pos="1152"/>
              </w:tabs>
              <w:spacing w:after="60" w:line="360" w:lineRule="auto"/>
              <w:jc w:val="left"/>
              <w:rPr>
                <w:rFonts w:ascii="仿宋_GB2312" w:hAnsi="宋体" w:eastAsia="仿宋_GB2312"/>
                <w:b/>
                <w:sz w:val="24"/>
                <w:szCs w:val="24"/>
              </w:rPr>
            </w:pPr>
            <w:r>
              <w:rPr>
                <w:rFonts w:hint="eastAsia" w:ascii="仿宋_GB2312" w:hAnsi="宋体" w:eastAsia="仿宋_GB2312"/>
                <w:sz w:val="24"/>
                <w:szCs w:val="24"/>
              </w:rPr>
              <w:t xml:space="preserve"> </w:t>
            </w:r>
            <w:r>
              <w:rPr>
                <w:rFonts w:hint="eastAsia" w:ascii="仿宋_GB2312" w:hAnsi="宋体" w:eastAsia="仿宋_GB2312"/>
                <w:b/>
                <w:sz w:val="24"/>
                <w:szCs w:val="24"/>
              </w:rPr>
              <w:t>20.物价上涨和法规变更</w:t>
            </w:r>
          </w:p>
          <w:p>
            <w:pPr>
              <w:pStyle w:val="11"/>
              <w:adjustRightInd w:val="0"/>
              <w:snapToGrid w:val="0"/>
              <w:spacing w:line="360" w:lineRule="auto"/>
              <w:ind w:left="0" w:leftChars="0"/>
              <w:rPr>
                <w:rFonts w:ascii="仿宋_GB2312" w:hAnsi="宋体" w:eastAsia="仿宋_GB2312"/>
                <w:sz w:val="24"/>
              </w:rPr>
            </w:pPr>
            <w:r>
              <w:rPr>
                <w:rFonts w:hint="eastAsia" w:ascii="仿宋_GB2312" w:hAnsi="宋体" w:eastAsia="仿宋_GB2312"/>
                <w:sz w:val="24"/>
              </w:rPr>
              <w:t xml:space="preserve">    在工程咨询期限内，因法律、行政法规、国家法令、地方政府的政策规章发生变化，物价上涨或通货膨胀而引起工程咨询单位费用增加，在服务期内工程咨询费用将不予调整。</w:t>
            </w:r>
            <w:bookmarkStart w:id="67" w:name="_Toc14357"/>
            <w:bookmarkStart w:id="68" w:name="_Toc22759"/>
            <w:bookmarkStart w:id="69" w:name="_Toc397"/>
          </w:p>
          <w:p>
            <w:pPr>
              <w:pStyle w:val="11"/>
              <w:adjustRightInd w:val="0"/>
              <w:snapToGrid w:val="0"/>
              <w:spacing w:line="360" w:lineRule="auto"/>
              <w:ind w:left="0" w:leftChars="0"/>
              <w:jc w:val="center"/>
              <w:rPr>
                <w:b/>
                <w:bCs/>
                <w:sz w:val="44"/>
                <w:szCs w:val="44"/>
              </w:rPr>
            </w:pPr>
            <w:r>
              <w:rPr>
                <w:rFonts w:hint="eastAsia"/>
                <w:b/>
                <w:bCs/>
                <w:sz w:val="44"/>
                <w:szCs w:val="44"/>
              </w:rPr>
              <w:t>八、合同的转让与分包</w:t>
            </w:r>
            <w:bookmarkEnd w:id="67"/>
            <w:bookmarkEnd w:id="68"/>
            <w:bookmarkEnd w:id="69"/>
          </w:p>
          <w:p>
            <w:pPr>
              <w:pStyle w:val="6"/>
              <w:widowControl/>
              <w:numPr>
                <w:ilvl w:val="5"/>
                <w:numId w:val="0"/>
              </w:numPr>
              <w:tabs>
                <w:tab w:val="left" w:pos="1152"/>
              </w:tabs>
              <w:spacing w:after="60" w:line="360" w:lineRule="auto"/>
              <w:ind w:left="-432" w:firstLine="723" w:firstLineChars="300"/>
              <w:jc w:val="left"/>
              <w:rPr>
                <w:rFonts w:ascii="仿宋_GB2312" w:hAnsi="宋体" w:eastAsia="仿宋_GB2312"/>
                <w:b/>
                <w:sz w:val="24"/>
                <w:szCs w:val="24"/>
              </w:rPr>
            </w:pPr>
            <w:r>
              <w:rPr>
                <w:rFonts w:hint="eastAsia" w:ascii="仿宋_GB2312" w:hAnsi="宋体" w:eastAsia="仿宋_GB2312"/>
                <w:b/>
                <w:sz w:val="24"/>
                <w:szCs w:val="24"/>
              </w:rPr>
              <w:t xml:space="preserve"> 21.合同的转让</w:t>
            </w:r>
          </w:p>
          <w:p>
            <w:pPr>
              <w:pStyle w:val="9"/>
              <w:spacing w:line="276" w:lineRule="auto"/>
              <w:ind w:left="0" w:leftChars="0" w:firstLine="444"/>
              <w:rPr>
                <w:rFonts w:ascii="仿宋_GB2312" w:eastAsia="仿宋_GB2312"/>
                <w:sz w:val="24"/>
              </w:rPr>
            </w:pPr>
            <w:r>
              <w:rPr>
                <w:rFonts w:hint="eastAsia" w:ascii="仿宋_GB2312" w:hAnsi="宋体" w:eastAsia="仿宋_GB2312"/>
                <w:spacing w:val="6"/>
                <w:kern w:val="11"/>
                <w:sz w:val="24"/>
              </w:rPr>
              <w:t>工程咨询单位</w:t>
            </w:r>
            <w:r>
              <w:rPr>
                <w:rFonts w:hint="eastAsia" w:ascii="仿宋_GB2312" w:eastAsia="仿宋_GB2312"/>
                <w:sz w:val="24"/>
              </w:rPr>
              <w:t>不得将本合同内的任何</w:t>
            </w:r>
            <w:r>
              <w:rPr>
                <w:rFonts w:hint="eastAsia" w:ascii="仿宋_GB2312" w:hAnsi="宋体" w:eastAsia="仿宋_GB2312"/>
                <w:sz w:val="24"/>
              </w:rPr>
              <w:t>项目策划与项目管理</w:t>
            </w:r>
            <w:r>
              <w:rPr>
                <w:rFonts w:hint="eastAsia" w:ascii="仿宋_GB2312" w:eastAsia="仿宋_GB2312"/>
                <w:sz w:val="24"/>
              </w:rPr>
              <w:t>工作予以转让，否则将视为</w:t>
            </w:r>
            <w:r>
              <w:rPr>
                <w:rFonts w:hint="eastAsia" w:ascii="仿宋_GB2312" w:hAnsi="宋体" w:eastAsia="仿宋_GB2312"/>
                <w:spacing w:val="6"/>
                <w:kern w:val="11"/>
                <w:sz w:val="24"/>
              </w:rPr>
              <w:t>工程咨询单位</w:t>
            </w:r>
            <w:r>
              <w:rPr>
                <w:rFonts w:hint="eastAsia" w:ascii="仿宋_GB2312" w:eastAsia="仿宋_GB2312"/>
                <w:sz w:val="24"/>
              </w:rPr>
              <w:t>违约，部分或全部没收其履约保证金。</w:t>
            </w:r>
          </w:p>
          <w:p>
            <w:pPr>
              <w:pStyle w:val="6"/>
              <w:widowControl/>
              <w:numPr>
                <w:ilvl w:val="5"/>
                <w:numId w:val="0"/>
              </w:numPr>
              <w:tabs>
                <w:tab w:val="left" w:pos="1152"/>
              </w:tabs>
              <w:spacing w:after="60" w:line="276" w:lineRule="auto"/>
              <w:ind w:left="-432" w:firstLine="723" w:firstLineChars="300"/>
              <w:jc w:val="left"/>
              <w:rPr>
                <w:rFonts w:ascii="仿宋_GB2312" w:hAnsi="宋体" w:eastAsia="仿宋_GB2312"/>
                <w:b/>
                <w:sz w:val="24"/>
                <w:szCs w:val="24"/>
              </w:rPr>
            </w:pPr>
            <w:r>
              <w:rPr>
                <w:rFonts w:hint="eastAsia" w:ascii="仿宋_GB2312" w:hAnsi="宋体" w:eastAsia="仿宋_GB2312"/>
                <w:b/>
                <w:sz w:val="24"/>
                <w:szCs w:val="24"/>
              </w:rPr>
              <w:t xml:space="preserve"> 22.合同的分包</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22.1工程咨询单位不得将本合同的监理工作予以分包。监理工程师因监理工作需要而聘请劳务人员和技术人员时的情况不在此列。</w:t>
            </w:r>
          </w:p>
          <w:p>
            <w:pPr>
              <w:pStyle w:val="11"/>
              <w:adjustRightInd w:val="0"/>
              <w:snapToGrid w:val="0"/>
              <w:spacing w:line="276" w:lineRule="auto"/>
              <w:ind w:left="0" w:leftChars="0" w:firstLine="529" w:firstLineChars="210"/>
              <w:rPr>
                <w:rFonts w:ascii="宋体" w:hAnsi="宋体"/>
                <w:spacing w:val="6"/>
                <w:kern w:val="11"/>
                <w:szCs w:val="21"/>
              </w:rPr>
            </w:pPr>
            <w:r>
              <w:rPr>
                <w:rFonts w:hint="eastAsia" w:ascii="仿宋_GB2312" w:hAnsi="宋体" w:eastAsia="仿宋_GB2312"/>
                <w:spacing w:val="6"/>
                <w:kern w:val="11"/>
                <w:sz w:val="24"/>
              </w:rPr>
              <w:t>22.2工程咨询单位可将本项目中专业性强的技术咨询业务或不擅长领域的业务范围进行分包或聘请专业技术团队（包括委托人认为工程咨询单位不具备咨询能力需要分包或聘请专业技术团队的），例如但不限于工艺需求管理、科研实验室工艺需求管理和科研实验室工艺设计咨询管理、BIM管理、工业化建筑咨询管理、地下综合管廊及海绵城市咨询管理等工作，分包或聘请专业技术团队须报委托人批准认可后方可实施。</w:t>
            </w:r>
            <w:bookmarkStart w:id="70" w:name="_Toc14284"/>
            <w:bookmarkStart w:id="71" w:name="_Toc3122"/>
            <w:bookmarkStart w:id="72" w:name="_Toc23593"/>
          </w:p>
          <w:p>
            <w:pPr>
              <w:pStyle w:val="11"/>
              <w:adjustRightInd w:val="0"/>
              <w:snapToGrid w:val="0"/>
              <w:spacing w:line="360" w:lineRule="auto"/>
              <w:ind w:left="0" w:leftChars="0"/>
              <w:jc w:val="center"/>
              <w:rPr>
                <w:b/>
                <w:bCs/>
                <w:sz w:val="44"/>
                <w:szCs w:val="44"/>
              </w:rPr>
            </w:pPr>
            <w:r>
              <w:rPr>
                <w:rFonts w:hint="eastAsia"/>
                <w:b/>
                <w:bCs/>
                <w:sz w:val="44"/>
                <w:szCs w:val="44"/>
              </w:rPr>
              <w:t>九、合同的解除、终止</w:t>
            </w:r>
            <w:bookmarkEnd w:id="70"/>
            <w:bookmarkEnd w:id="71"/>
            <w:bookmarkEnd w:id="72"/>
          </w:p>
          <w:p>
            <w:pPr>
              <w:pStyle w:val="6"/>
              <w:widowControl/>
              <w:numPr>
                <w:ilvl w:val="5"/>
                <w:numId w:val="0"/>
              </w:numPr>
              <w:tabs>
                <w:tab w:val="left" w:pos="1152"/>
              </w:tabs>
              <w:spacing w:after="60" w:line="360" w:lineRule="auto"/>
              <w:ind w:left="-432" w:firstLine="964" w:firstLineChars="400"/>
              <w:jc w:val="left"/>
              <w:rPr>
                <w:rFonts w:ascii="仿宋_GB2312" w:hAnsi="宋体" w:eastAsia="仿宋_GB2312"/>
                <w:b/>
                <w:sz w:val="24"/>
                <w:szCs w:val="24"/>
              </w:rPr>
            </w:pPr>
            <w:r>
              <w:rPr>
                <w:rFonts w:hint="eastAsia" w:ascii="仿宋_GB2312" w:hAnsi="宋体" w:eastAsia="仿宋_GB2312"/>
                <w:b/>
                <w:sz w:val="24"/>
                <w:szCs w:val="24"/>
              </w:rPr>
              <w:t>23.委托人的通知</w:t>
            </w:r>
          </w:p>
          <w:p>
            <w:pPr>
              <w:pStyle w:val="11"/>
              <w:adjustRightInd w:val="0"/>
              <w:snapToGrid w:val="0"/>
              <w:spacing w:line="360" w:lineRule="auto"/>
              <w:ind w:left="0" w:leftChars="0"/>
              <w:rPr>
                <w:rFonts w:ascii="仿宋_GB2312" w:hAnsi="宋体" w:eastAsia="仿宋_GB2312"/>
                <w:sz w:val="24"/>
              </w:rPr>
            </w:pPr>
            <w:r>
              <w:rPr>
                <w:rFonts w:hint="eastAsia" w:ascii="仿宋_GB2312" w:hAnsi="宋体" w:eastAsia="仿宋_GB2312"/>
                <w:bCs/>
                <w:sz w:val="24"/>
              </w:rPr>
              <w:t xml:space="preserve">    如果工程咨询单位不履行本合同条款规定的义务，或者严重违反第二篇第5、6款（咨询工作一般要求、廉政守则）的规定，无视职业道德，经委托人向工程咨询单位发出书面警告后仍不予以改正，则委托人有权在书面通知工程咨询单位21天后，解除本工程咨询合同，并不再支付任何工程咨询费用</w:t>
            </w:r>
            <w:r>
              <w:rPr>
                <w:rFonts w:hint="eastAsia" w:ascii="仿宋_GB2312" w:hAnsi="宋体" w:eastAsia="仿宋_GB2312"/>
                <w:sz w:val="24"/>
              </w:rPr>
              <w:t>。</w:t>
            </w:r>
          </w:p>
          <w:p>
            <w:pPr>
              <w:pStyle w:val="6"/>
              <w:widowControl/>
              <w:numPr>
                <w:ilvl w:val="5"/>
                <w:numId w:val="0"/>
              </w:numPr>
              <w:tabs>
                <w:tab w:val="left" w:pos="1152"/>
              </w:tabs>
              <w:spacing w:after="60" w:line="360" w:lineRule="auto"/>
              <w:ind w:left="-432" w:firstLine="964" w:firstLineChars="400"/>
              <w:jc w:val="left"/>
              <w:rPr>
                <w:rFonts w:ascii="仿宋_GB2312" w:hAnsi="宋体" w:eastAsia="仿宋_GB2312"/>
                <w:b/>
                <w:sz w:val="24"/>
                <w:szCs w:val="24"/>
              </w:rPr>
            </w:pPr>
            <w:r>
              <w:rPr>
                <w:rFonts w:hint="eastAsia" w:ascii="仿宋_GB2312" w:hAnsi="宋体" w:eastAsia="仿宋_GB2312"/>
                <w:b/>
                <w:sz w:val="24"/>
                <w:szCs w:val="24"/>
              </w:rPr>
              <w:t>24.工程咨询单位的通知</w:t>
            </w:r>
          </w:p>
          <w:p>
            <w:pPr>
              <w:pStyle w:val="11"/>
              <w:adjustRightInd w:val="0"/>
              <w:snapToGrid w:val="0"/>
              <w:spacing w:line="360" w:lineRule="auto"/>
              <w:ind w:left="0" w:leftChars="0"/>
              <w:rPr>
                <w:rFonts w:ascii="仿宋_GB2312" w:hAnsi="宋体" w:eastAsia="仿宋_GB2312"/>
                <w:sz w:val="24"/>
              </w:rPr>
            </w:pPr>
            <w:r>
              <w:rPr>
                <w:rFonts w:hint="eastAsia" w:ascii="仿宋_GB2312" w:hAnsi="宋体" w:eastAsia="仿宋_GB2312"/>
                <w:sz w:val="24"/>
              </w:rPr>
              <w:t xml:space="preserve">    如果委托人不履行合同中规定的义务，或者在应付款期限届满后56日内不能正常付款（财政部门原因除外），或因非不可抗力原因（政策、政府行为等原因除外）致使项目无法继续实施时，则工程咨询单位书面通知委托人14日后有权终止本工程咨询合同。委托人此时应支付工程咨询单位当月的工程咨询费用。</w:t>
            </w:r>
          </w:p>
          <w:p>
            <w:pPr>
              <w:pStyle w:val="6"/>
              <w:widowControl/>
              <w:numPr>
                <w:ilvl w:val="5"/>
                <w:numId w:val="0"/>
              </w:numPr>
              <w:tabs>
                <w:tab w:val="left" w:pos="1152"/>
              </w:tabs>
              <w:spacing w:after="60" w:line="360" w:lineRule="auto"/>
              <w:jc w:val="left"/>
              <w:rPr>
                <w:rFonts w:ascii="仿宋_GB2312" w:hAnsi="宋体" w:eastAsia="仿宋_GB2312"/>
                <w:b/>
                <w:sz w:val="24"/>
                <w:szCs w:val="24"/>
              </w:rPr>
            </w:pPr>
            <w:r>
              <w:rPr>
                <w:rFonts w:hint="eastAsia" w:ascii="仿宋_GB2312" w:hAnsi="宋体" w:eastAsia="仿宋_GB2312"/>
                <w:b/>
                <w:sz w:val="24"/>
                <w:szCs w:val="24"/>
              </w:rPr>
              <w:t xml:space="preserve">    25.暂停服务</w:t>
            </w:r>
          </w:p>
          <w:p>
            <w:pPr>
              <w:pStyle w:val="11"/>
              <w:adjustRightInd w:val="0"/>
              <w:snapToGrid w:val="0"/>
              <w:spacing w:line="360" w:lineRule="auto"/>
              <w:ind w:left="0" w:leftChars="0"/>
              <w:rPr>
                <w:rFonts w:ascii="仿宋_GB2312" w:hAnsi="宋体" w:eastAsia="仿宋_GB2312"/>
                <w:sz w:val="24"/>
              </w:rPr>
            </w:pPr>
            <w:r>
              <w:rPr>
                <w:rFonts w:hint="eastAsia" w:ascii="仿宋_GB2312" w:hAnsi="宋体" w:eastAsia="仿宋_GB2312"/>
                <w:sz w:val="24"/>
              </w:rPr>
              <w:t xml:space="preserve">    在本合同有效期内，因非工程咨询单位的原因导致项目实施进度全部或部分暂停，委托人可通知工程咨询单位要求暂停全部或部分工作。工程咨询单位应立即安排停止工作，并将开支减至最小，期间费用由工程咨询单位自行承担，并不得向委托人进行索赔。</w:t>
            </w:r>
          </w:p>
          <w:p>
            <w:pPr>
              <w:pStyle w:val="6"/>
              <w:widowControl/>
              <w:numPr>
                <w:ilvl w:val="5"/>
                <w:numId w:val="0"/>
              </w:numPr>
              <w:tabs>
                <w:tab w:val="left" w:pos="1152"/>
              </w:tabs>
              <w:spacing w:after="60" w:line="360" w:lineRule="auto"/>
              <w:ind w:left="-432" w:firstLine="964" w:firstLineChars="400"/>
              <w:jc w:val="left"/>
              <w:rPr>
                <w:rFonts w:ascii="仿宋_GB2312" w:hAnsi="宋体" w:eastAsia="仿宋_GB2312"/>
                <w:b/>
                <w:sz w:val="24"/>
                <w:szCs w:val="24"/>
              </w:rPr>
            </w:pPr>
            <w:r>
              <w:rPr>
                <w:rFonts w:hint="eastAsia" w:ascii="仿宋_GB2312" w:hAnsi="宋体" w:eastAsia="仿宋_GB2312"/>
                <w:b/>
                <w:sz w:val="24"/>
                <w:szCs w:val="24"/>
              </w:rPr>
              <w:t>26.协商解除</w:t>
            </w:r>
          </w:p>
          <w:p>
            <w:pPr>
              <w:pStyle w:val="11"/>
              <w:adjustRightInd w:val="0"/>
              <w:snapToGrid w:val="0"/>
              <w:spacing w:line="360" w:lineRule="auto"/>
              <w:ind w:left="0" w:leftChars="0" w:firstLine="480" w:firstLineChars="200"/>
              <w:rPr>
                <w:rFonts w:ascii="仿宋_GB2312" w:hAnsi="宋体" w:eastAsia="仿宋_GB2312"/>
                <w:sz w:val="24"/>
              </w:rPr>
            </w:pPr>
            <w:r>
              <w:rPr>
                <w:rFonts w:hint="eastAsia" w:ascii="仿宋_GB2312" w:hAnsi="宋体" w:eastAsia="仿宋_GB2312"/>
                <w:sz w:val="24"/>
              </w:rPr>
              <w:t>在本合同有效期内，由于双方无法预见和控制的原因导致本合同全部或部分无法继续履行或继续履行已无意义，经双方协商一致，可以解除本合同或工程咨询单位的部分义务。在解除之前，工程咨询单位应作出合理安排，使开支减至最小，期间费用由工程咨询单位自行承担，并不得向委托人进行索赔。</w:t>
            </w:r>
          </w:p>
          <w:p>
            <w:pPr>
              <w:pStyle w:val="11"/>
              <w:adjustRightInd w:val="0"/>
              <w:snapToGrid w:val="0"/>
              <w:spacing w:line="360" w:lineRule="auto"/>
              <w:ind w:left="0" w:leftChars="0"/>
              <w:rPr>
                <w:rFonts w:ascii="仿宋_GB2312" w:hAnsi="宋体" w:eastAsia="仿宋_GB2312"/>
                <w:sz w:val="24"/>
              </w:rPr>
            </w:pPr>
            <w:r>
              <w:rPr>
                <w:rFonts w:hint="eastAsia" w:ascii="仿宋_GB2312" w:hAnsi="宋体" w:eastAsia="仿宋_GB2312"/>
                <w:sz w:val="24"/>
              </w:rPr>
              <w:t>协商解除合同时，</w:t>
            </w:r>
            <w:r>
              <w:rPr>
                <w:rFonts w:hint="eastAsia" w:ascii="仿宋_GB2312" w:hAnsi="宋体" w:eastAsia="仿宋_GB2312"/>
                <w:spacing w:val="6"/>
                <w:kern w:val="11"/>
                <w:sz w:val="24"/>
              </w:rPr>
              <w:t>委托人应支付工程咨询单位到终止合同当月（含当月）所有应付给工程咨询单位的全部咨询费，工程咨询单位不得进行索赔。</w:t>
            </w:r>
          </w:p>
          <w:p>
            <w:pPr>
              <w:pStyle w:val="11"/>
              <w:adjustRightInd w:val="0"/>
              <w:snapToGrid w:val="0"/>
              <w:spacing w:line="360" w:lineRule="auto"/>
              <w:ind w:left="0" w:leftChars="0" w:firstLine="480" w:firstLineChars="200"/>
              <w:rPr>
                <w:rFonts w:ascii="仿宋_GB2312" w:hAnsi="宋体" w:eastAsia="仿宋_GB2312"/>
                <w:sz w:val="24"/>
              </w:rPr>
            </w:pPr>
            <w:r>
              <w:rPr>
                <w:rFonts w:hint="eastAsia" w:ascii="仿宋_GB2312" w:hAnsi="宋体" w:eastAsia="仿宋_GB2312"/>
                <w:sz w:val="24"/>
              </w:rPr>
              <w:t>解除本合同的协议必须采取书面形式，协议未达成之前，本合同仍然有效。</w:t>
            </w:r>
          </w:p>
          <w:p>
            <w:pPr>
              <w:pStyle w:val="11"/>
              <w:adjustRightInd w:val="0"/>
              <w:snapToGrid w:val="0"/>
              <w:spacing w:line="360" w:lineRule="auto"/>
              <w:ind w:left="0" w:leftChars="0" w:firstLine="504" w:firstLineChars="210"/>
              <w:rPr>
                <w:rFonts w:ascii="仿宋_GB2312" w:hAnsi="宋体" w:eastAsia="仿宋_GB2312"/>
                <w:sz w:val="24"/>
              </w:rPr>
            </w:pPr>
            <w:r>
              <w:rPr>
                <w:rFonts w:hint="eastAsia" w:ascii="仿宋_GB2312" w:hAnsi="宋体" w:eastAsia="仿宋_GB2312"/>
                <w:sz w:val="24"/>
              </w:rPr>
              <w:t>合同解除后，合同约定的有关结算、清理、争议解决方式的条件仍然有效。</w:t>
            </w:r>
          </w:p>
          <w:p>
            <w:pPr>
              <w:pStyle w:val="6"/>
              <w:widowControl/>
              <w:numPr>
                <w:ilvl w:val="5"/>
                <w:numId w:val="0"/>
              </w:numPr>
              <w:tabs>
                <w:tab w:val="left" w:pos="1152"/>
              </w:tabs>
              <w:spacing w:after="60" w:line="360" w:lineRule="auto"/>
              <w:ind w:left="-432" w:firstLine="723" w:firstLineChars="300"/>
              <w:jc w:val="left"/>
              <w:rPr>
                <w:rFonts w:ascii="仿宋_GB2312" w:hAnsi="宋体" w:eastAsia="仿宋_GB2312"/>
                <w:b/>
                <w:sz w:val="24"/>
                <w:szCs w:val="24"/>
              </w:rPr>
            </w:pPr>
            <w:r>
              <w:rPr>
                <w:rFonts w:hint="eastAsia" w:ascii="仿宋_GB2312" w:hAnsi="宋体" w:eastAsia="仿宋_GB2312"/>
                <w:b/>
                <w:sz w:val="24"/>
                <w:szCs w:val="24"/>
              </w:rPr>
              <w:t xml:space="preserve">  27.不可抗力事件的影响</w:t>
            </w:r>
          </w:p>
          <w:p>
            <w:pPr>
              <w:pStyle w:val="11"/>
              <w:adjustRightInd w:val="0"/>
              <w:snapToGrid w:val="0"/>
              <w:spacing w:line="360" w:lineRule="auto"/>
              <w:ind w:left="0" w:leftChars="0"/>
              <w:rPr>
                <w:rFonts w:ascii="仿宋_GB2312" w:hAnsi="宋体" w:eastAsia="仿宋_GB2312"/>
                <w:sz w:val="24"/>
              </w:rPr>
            </w:pPr>
            <w:r>
              <w:rPr>
                <w:rFonts w:hint="eastAsia" w:ascii="仿宋_GB2312" w:hAnsi="宋体" w:eastAsia="仿宋_GB2312"/>
                <w:sz w:val="24"/>
              </w:rPr>
              <w:t xml:space="preserve">    如果因为不可抗力原因使本合同无法继续履行时，任何一方书面通知对方14天后有权终止本合同。合同终止时委托人应支付工程咨询单位当月的工程咨询费用；终止后各自的损失由各自负责。</w:t>
            </w:r>
          </w:p>
          <w:p>
            <w:pPr>
              <w:pStyle w:val="6"/>
              <w:widowControl/>
              <w:numPr>
                <w:ilvl w:val="5"/>
                <w:numId w:val="0"/>
              </w:numPr>
              <w:tabs>
                <w:tab w:val="left" w:pos="1152"/>
              </w:tabs>
              <w:spacing w:after="60" w:line="360" w:lineRule="auto"/>
              <w:ind w:left="-432" w:firstLine="964" w:firstLineChars="400"/>
              <w:jc w:val="left"/>
              <w:rPr>
                <w:rFonts w:ascii="仿宋_GB2312" w:hAnsi="宋体" w:eastAsia="仿宋_GB2312"/>
                <w:b/>
                <w:sz w:val="24"/>
                <w:szCs w:val="24"/>
              </w:rPr>
            </w:pPr>
            <w:r>
              <w:rPr>
                <w:rFonts w:hint="eastAsia" w:ascii="仿宋_GB2312" w:hAnsi="宋体" w:eastAsia="仿宋_GB2312"/>
                <w:b/>
                <w:sz w:val="24"/>
                <w:szCs w:val="24"/>
              </w:rPr>
              <w:t xml:space="preserve"> 28.合同终止</w:t>
            </w:r>
          </w:p>
          <w:p>
            <w:pPr>
              <w:pStyle w:val="11"/>
              <w:adjustRightInd w:val="0"/>
              <w:snapToGrid w:val="0"/>
              <w:spacing w:line="360" w:lineRule="auto"/>
              <w:ind w:left="0" w:leftChars="0" w:firstLine="504" w:firstLineChars="210"/>
              <w:rPr>
                <w:rFonts w:ascii="仿宋_GB2312" w:hAnsi="宋体" w:eastAsia="仿宋_GB2312"/>
                <w:sz w:val="24"/>
              </w:rPr>
            </w:pPr>
            <w:r>
              <w:rPr>
                <w:rFonts w:hint="eastAsia" w:ascii="仿宋_GB2312" w:hAnsi="宋体" w:eastAsia="仿宋_GB2312"/>
                <w:sz w:val="24"/>
              </w:rPr>
              <w:t>以下条件全部满足时，本合同即告终止：</w:t>
            </w:r>
          </w:p>
          <w:p>
            <w:pPr>
              <w:pStyle w:val="11"/>
              <w:adjustRightInd w:val="0"/>
              <w:snapToGrid w:val="0"/>
              <w:spacing w:line="360" w:lineRule="auto"/>
              <w:ind w:left="0" w:leftChars="0" w:firstLine="504" w:firstLineChars="210"/>
              <w:rPr>
                <w:rFonts w:ascii="仿宋_GB2312" w:hAnsi="宋体" w:eastAsia="仿宋_GB2312"/>
                <w:sz w:val="24"/>
              </w:rPr>
            </w:pPr>
            <w:r>
              <w:rPr>
                <w:rFonts w:hint="eastAsia" w:ascii="仿宋_GB2312" w:hAnsi="宋体" w:eastAsia="仿宋_GB2312"/>
                <w:sz w:val="24"/>
              </w:rPr>
              <w:t>（1）工程咨询单位完成本合同约定的全部工作；</w:t>
            </w:r>
          </w:p>
          <w:p>
            <w:pPr>
              <w:pStyle w:val="11"/>
              <w:adjustRightInd w:val="0"/>
              <w:snapToGrid w:val="0"/>
              <w:spacing w:line="360" w:lineRule="auto"/>
              <w:ind w:left="0" w:leftChars="0" w:firstLine="504" w:firstLineChars="210"/>
              <w:rPr>
                <w:rFonts w:hint="eastAsia" w:ascii="仿宋_GB2312" w:hAnsi="宋体" w:eastAsia="仿宋_GB2312"/>
                <w:sz w:val="24"/>
              </w:rPr>
            </w:pPr>
            <w:r>
              <w:rPr>
                <w:rFonts w:hint="eastAsia" w:ascii="仿宋_GB2312" w:hAnsi="宋体" w:eastAsia="仿宋_GB2312"/>
                <w:sz w:val="24"/>
              </w:rPr>
              <w:t>（2）委托人与工程咨询单位结清并支付全部费用。</w:t>
            </w:r>
          </w:p>
          <w:p>
            <w:pPr>
              <w:pStyle w:val="11"/>
              <w:adjustRightInd w:val="0"/>
              <w:snapToGrid w:val="0"/>
              <w:spacing w:line="360" w:lineRule="auto"/>
              <w:ind w:left="0" w:leftChars="0" w:firstLine="2248" w:firstLineChars="509"/>
              <w:rPr>
                <w:b/>
                <w:bCs/>
                <w:sz w:val="44"/>
                <w:szCs w:val="44"/>
              </w:rPr>
            </w:pPr>
            <w:r>
              <w:rPr>
                <w:rFonts w:hint="eastAsia"/>
                <w:b/>
                <w:bCs/>
                <w:sz w:val="44"/>
                <w:szCs w:val="44"/>
              </w:rPr>
              <w:t>十、合同保障</w:t>
            </w:r>
          </w:p>
          <w:p>
            <w:pPr>
              <w:pStyle w:val="6"/>
              <w:widowControl/>
              <w:numPr>
                <w:ilvl w:val="5"/>
                <w:numId w:val="0"/>
              </w:numPr>
              <w:tabs>
                <w:tab w:val="left" w:pos="1152"/>
              </w:tabs>
              <w:spacing w:after="60" w:line="360" w:lineRule="auto"/>
              <w:ind w:left="-432" w:firstLine="723" w:firstLineChars="300"/>
              <w:jc w:val="left"/>
              <w:rPr>
                <w:rFonts w:ascii="仿宋_GB2312" w:hAnsi="宋体" w:eastAsia="仿宋_GB2312"/>
                <w:b/>
                <w:sz w:val="24"/>
                <w:szCs w:val="24"/>
              </w:rPr>
            </w:pPr>
            <w:r>
              <w:rPr>
                <w:rFonts w:hint="eastAsia" w:ascii="仿宋_GB2312" w:hAnsi="宋体" w:eastAsia="仿宋_GB2312"/>
                <w:b/>
                <w:sz w:val="24"/>
                <w:szCs w:val="24"/>
              </w:rPr>
              <w:t>29.工程咨询单位的保险</w:t>
            </w:r>
          </w:p>
          <w:p>
            <w:pPr>
              <w:pStyle w:val="11"/>
              <w:adjustRightInd w:val="0"/>
              <w:snapToGrid w:val="0"/>
              <w:spacing w:line="360" w:lineRule="auto"/>
              <w:ind w:left="0" w:leftChars="0"/>
              <w:rPr>
                <w:rFonts w:ascii="仿宋_GB2312" w:hAnsi="宋体" w:eastAsia="仿宋_GB2312"/>
                <w:sz w:val="24"/>
              </w:rPr>
            </w:pPr>
            <w:r>
              <w:rPr>
                <w:rFonts w:hint="eastAsia" w:ascii="仿宋_GB2312" w:hAnsi="宋体" w:eastAsia="仿宋_GB2312"/>
                <w:sz w:val="24"/>
              </w:rPr>
              <w:t xml:space="preserve">    工程咨询单位应在整个合同期限内为其雇员（含向委托人提供的工作人员）购买人身及财产安全有关保险，保险时间随服务时间的延长而顺延，如果工程咨询单位未能办理此项保险，由此造成的损失由其自行负责。</w:t>
            </w:r>
            <w:bookmarkStart w:id="73" w:name="_Toc3620"/>
            <w:bookmarkStart w:id="74" w:name="_Toc18916"/>
            <w:bookmarkStart w:id="75" w:name="_Toc21593"/>
          </w:p>
          <w:p>
            <w:pPr>
              <w:pStyle w:val="11"/>
              <w:adjustRightInd w:val="0"/>
              <w:snapToGrid w:val="0"/>
              <w:spacing w:line="360" w:lineRule="auto"/>
              <w:ind w:left="0" w:leftChars="0"/>
              <w:jc w:val="center"/>
              <w:rPr>
                <w:b/>
                <w:bCs/>
                <w:sz w:val="44"/>
                <w:szCs w:val="44"/>
              </w:rPr>
            </w:pPr>
            <w:r>
              <w:rPr>
                <w:rFonts w:hint="eastAsia"/>
                <w:b/>
                <w:bCs/>
                <w:sz w:val="44"/>
                <w:szCs w:val="44"/>
              </w:rPr>
              <w:t>十一、仲裁</w:t>
            </w:r>
            <w:bookmarkEnd w:id="73"/>
            <w:bookmarkEnd w:id="74"/>
            <w:bookmarkEnd w:id="75"/>
            <w:r>
              <w:rPr>
                <w:rFonts w:hint="eastAsia"/>
                <w:b/>
                <w:bCs/>
                <w:sz w:val="44"/>
                <w:szCs w:val="44"/>
              </w:rPr>
              <w:t>或诉讼</w:t>
            </w:r>
          </w:p>
          <w:p>
            <w:pPr>
              <w:pStyle w:val="6"/>
              <w:widowControl/>
              <w:numPr>
                <w:ilvl w:val="5"/>
                <w:numId w:val="0"/>
              </w:numPr>
              <w:tabs>
                <w:tab w:val="left" w:pos="1152"/>
              </w:tabs>
              <w:spacing w:after="60" w:line="360" w:lineRule="auto"/>
              <w:ind w:left="-432" w:firstLine="964" w:firstLineChars="400"/>
              <w:jc w:val="left"/>
              <w:rPr>
                <w:rFonts w:ascii="仿宋_GB2312" w:hAnsi="宋体" w:eastAsia="仿宋_GB2312"/>
                <w:b/>
                <w:sz w:val="24"/>
                <w:szCs w:val="24"/>
              </w:rPr>
            </w:pPr>
            <w:r>
              <w:rPr>
                <w:rFonts w:hint="eastAsia" w:ascii="仿宋_GB2312" w:hAnsi="宋体" w:eastAsia="仿宋_GB2312"/>
                <w:b/>
                <w:sz w:val="24"/>
                <w:szCs w:val="24"/>
              </w:rPr>
              <w:t>30.仲裁或诉讼</w:t>
            </w:r>
          </w:p>
          <w:p>
            <w:pPr>
              <w:pStyle w:val="11"/>
              <w:adjustRightInd w:val="0"/>
              <w:snapToGrid w:val="0"/>
              <w:spacing w:line="360" w:lineRule="auto"/>
              <w:ind w:left="0" w:leftChars="0"/>
              <w:rPr>
                <w:rFonts w:ascii="仿宋_GB2312" w:hAnsi="宋体" w:eastAsia="仿宋_GB2312"/>
                <w:sz w:val="24"/>
              </w:rPr>
            </w:pPr>
            <w:r>
              <w:rPr>
                <w:rFonts w:hint="eastAsia" w:ascii="仿宋_GB2312" w:hAnsi="宋体" w:eastAsia="仿宋_GB2312"/>
                <w:sz w:val="24"/>
              </w:rPr>
              <w:t xml:space="preserve">    委托人和工程咨询单位在履行本合同双方对有关问题发生争端时，双方应本着友好协商的态度予以解决，或通过上级部门调解来解决，当协商或调解无法达成协议时，</w:t>
            </w:r>
            <w:r>
              <w:rPr>
                <w:rFonts w:hint="eastAsia" w:ascii="仿宋_GB2312" w:hAnsi="宋体" w:eastAsia="仿宋_GB2312"/>
                <w:spacing w:val="2"/>
                <w:sz w:val="24"/>
              </w:rPr>
              <w:t>任一方可</w:t>
            </w:r>
            <w:r>
              <w:rPr>
                <w:rFonts w:hint="eastAsia" w:ascii="仿宋_GB2312" w:hAnsi="宋体" w:eastAsia="仿宋_GB2312"/>
                <w:sz w:val="24"/>
              </w:rPr>
              <w:t>向项目所在地人民法院起诉。</w:t>
            </w:r>
            <w:bookmarkStart w:id="76" w:name="_Toc24893"/>
            <w:bookmarkStart w:id="77" w:name="_Toc19066"/>
            <w:bookmarkStart w:id="78" w:name="_Toc18908"/>
          </w:p>
          <w:p>
            <w:pPr>
              <w:pStyle w:val="11"/>
              <w:adjustRightInd w:val="0"/>
              <w:snapToGrid w:val="0"/>
              <w:spacing w:line="360" w:lineRule="auto"/>
              <w:ind w:left="0" w:leftChars="0"/>
              <w:jc w:val="center"/>
              <w:rPr>
                <w:b/>
                <w:bCs/>
                <w:sz w:val="44"/>
                <w:szCs w:val="44"/>
              </w:rPr>
            </w:pPr>
            <w:r>
              <w:rPr>
                <w:rFonts w:hint="eastAsia"/>
                <w:b/>
                <w:bCs/>
                <w:sz w:val="44"/>
                <w:szCs w:val="44"/>
              </w:rPr>
              <w:t>十二、其他</w:t>
            </w:r>
            <w:bookmarkEnd w:id="76"/>
            <w:bookmarkEnd w:id="77"/>
            <w:bookmarkEnd w:id="78"/>
          </w:p>
          <w:p>
            <w:pPr>
              <w:pStyle w:val="6"/>
              <w:widowControl/>
              <w:numPr>
                <w:ilvl w:val="5"/>
                <w:numId w:val="0"/>
              </w:numPr>
              <w:tabs>
                <w:tab w:val="left" w:pos="1152"/>
              </w:tabs>
              <w:spacing w:after="60" w:line="360" w:lineRule="auto"/>
              <w:ind w:left="-432" w:firstLine="723" w:firstLineChars="300"/>
              <w:jc w:val="left"/>
              <w:rPr>
                <w:rFonts w:ascii="仿宋_GB2312" w:hAnsi="宋体" w:eastAsia="仿宋_GB2312"/>
                <w:b/>
                <w:sz w:val="24"/>
                <w:szCs w:val="24"/>
              </w:rPr>
            </w:pPr>
            <w:r>
              <w:rPr>
                <w:rFonts w:hint="eastAsia" w:ascii="仿宋_GB2312" w:hAnsi="宋体" w:eastAsia="仿宋_GB2312"/>
                <w:b/>
                <w:sz w:val="24"/>
                <w:szCs w:val="24"/>
              </w:rPr>
              <w:t xml:space="preserve"> 31.临时设施费用</w:t>
            </w:r>
          </w:p>
          <w:p>
            <w:pPr>
              <w:pStyle w:val="11"/>
              <w:adjustRightInd w:val="0"/>
              <w:snapToGrid w:val="0"/>
              <w:spacing w:line="360" w:lineRule="auto"/>
              <w:ind w:left="0" w:leftChars="0" w:firstLine="504" w:firstLineChars="210"/>
              <w:rPr>
                <w:rFonts w:ascii="仿宋_GB2312" w:hAnsi="宋体" w:eastAsia="仿宋_GB2312"/>
                <w:sz w:val="24"/>
              </w:rPr>
            </w:pPr>
            <w:r>
              <w:rPr>
                <w:rFonts w:hint="eastAsia" w:ascii="仿宋_GB2312" w:hAnsi="宋体" w:eastAsia="仿宋_GB2312"/>
                <w:sz w:val="24"/>
              </w:rPr>
              <w:t>投标人的办公用房由投标人自行考虑，费用包含在投标报价中，委托人不另行支付。</w:t>
            </w:r>
          </w:p>
          <w:p>
            <w:pPr>
              <w:pStyle w:val="6"/>
              <w:widowControl/>
              <w:numPr>
                <w:ilvl w:val="5"/>
                <w:numId w:val="0"/>
              </w:numPr>
              <w:tabs>
                <w:tab w:val="left" w:pos="1152"/>
              </w:tabs>
              <w:spacing w:after="60" w:line="360" w:lineRule="auto"/>
              <w:ind w:left="-432" w:firstLine="723" w:firstLineChars="300"/>
              <w:jc w:val="left"/>
              <w:rPr>
                <w:rFonts w:ascii="仿宋_GB2312" w:hAnsi="宋体" w:eastAsia="仿宋_GB2312"/>
                <w:b/>
                <w:sz w:val="24"/>
                <w:szCs w:val="24"/>
              </w:rPr>
            </w:pPr>
            <w:r>
              <w:rPr>
                <w:rFonts w:hint="eastAsia" w:ascii="仿宋_GB2312" w:hAnsi="宋体" w:eastAsia="仿宋_GB2312"/>
                <w:b/>
                <w:sz w:val="24"/>
                <w:szCs w:val="24"/>
              </w:rPr>
              <w:t xml:space="preserve"> 32.外出考察费用</w:t>
            </w:r>
          </w:p>
          <w:p>
            <w:pPr>
              <w:pStyle w:val="11"/>
              <w:adjustRightInd w:val="0"/>
              <w:snapToGrid w:val="0"/>
              <w:spacing w:line="360" w:lineRule="auto"/>
              <w:ind w:left="0" w:leftChars="0" w:firstLine="504" w:firstLineChars="210"/>
              <w:rPr>
                <w:rFonts w:ascii="仿宋_GB2312" w:hAnsi="宋体" w:eastAsia="仿宋_GB2312"/>
                <w:sz w:val="24"/>
              </w:rPr>
            </w:pPr>
            <w:r>
              <w:rPr>
                <w:rFonts w:hint="eastAsia" w:ascii="仿宋_GB2312" w:hAnsi="宋体" w:eastAsia="仿宋_GB2312"/>
                <w:sz w:val="24"/>
              </w:rPr>
              <w:t>工程需要外出考察发生的费用由工程咨询单位支付。</w:t>
            </w:r>
          </w:p>
          <w:p>
            <w:pPr>
              <w:pStyle w:val="6"/>
              <w:widowControl/>
              <w:numPr>
                <w:ilvl w:val="5"/>
                <w:numId w:val="0"/>
              </w:numPr>
              <w:tabs>
                <w:tab w:val="left" w:pos="1152"/>
              </w:tabs>
              <w:spacing w:after="60" w:line="360" w:lineRule="auto"/>
              <w:ind w:firstLine="482" w:firstLineChars="200"/>
              <w:jc w:val="left"/>
              <w:rPr>
                <w:rFonts w:ascii="仿宋_GB2312" w:hAnsi="宋体" w:eastAsia="仿宋_GB2312"/>
                <w:b/>
                <w:sz w:val="24"/>
                <w:szCs w:val="24"/>
              </w:rPr>
            </w:pPr>
            <w:r>
              <w:rPr>
                <w:rFonts w:hint="eastAsia" w:ascii="仿宋_GB2312" w:hAnsi="宋体" w:eastAsia="仿宋_GB2312"/>
                <w:b/>
                <w:sz w:val="24"/>
                <w:szCs w:val="24"/>
              </w:rPr>
              <w:t xml:space="preserve"> 33.其他费用</w:t>
            </w:r>
          </w:p>
          <w:p>
            <w:pPr>
              <w:pStyle w:val="11"/>
              <w:adjustRightInd w:val="0"/>
              <w:snapToGrid w:val="0"/>
              <w:spacing w:line="360" w:lineRule="auto"/>
              <w:ind w:left="0" w:leftChars="0" w:firstLine="480"/>
              <w:rPr>
                <w:rFonts w:ascii="仿宋_GB2312" w:hAnsi="宋体" w:eastAsia="仿宋_GB2312"/>
                <w:sz w:val="24"/>
              </w:rPr>
            </w:pPr>
            <w:r>
              <w:rPr>
                <w:rFonts w:hint="eastAsia" w:ascii="仿宋_GB2312" w:hAnsi="宋体" w:eastAsia="仿宋_GB2312"/>
                <w:sz w:val="24"/>
              </w:rPr>
              <w:t xml:space="preserve">根据工程需要由工程咨询单位组织的相关咨询论证会以及聘请相关专家等发生的费用（会议、食宿、交通、专家顾问费等）由工程咨询单位支付。  </w:t>
            </w:r>
          </w:p>
          <w:p>
            <w:pPr>
              <w:pStyle w:val="6"/>
              <w:widowControl/>
              <w:numPr>
                <w:ilvl w:val="5"/>
                <w:numId w:val="0"/>
              </w:numPr>
              <w:tabs>
                <w:tab w:val="left" w:pos="1152"/>
              </w:tabs>
              <w:spacing w:after="60" w:line="360" w:lineRule="auto"/>
              <w:ind w:firstLine="240" w:firstLineChars="100"/>
              <w:jc w:val="left"/>
              <w:rPr>
                <w:rFonts w:hint="eastAsia" w:ascii="仿宋_GB2312" w:hAnsi="宋体" w:eastAsia="仿宋_GB2312"/>
                <w:b/>
                <w:sz w:val="24"/>
                <w:szCs w:val="24"/>
              </w:rPr>
            </w:pPr>
            <w:r>
              <w:rPr>
                <w:rFonts w:hint="eastAsia" w:ascii="仿宋_GB2312" w:hAnsi="宋体" w:eastAsia="仿宋_GB2312"/>
                <w:sz w:val="24"/>
                <w:szCs w:val="24"/>
              </w:rPr>
              <w:t xml:space="preserve">  </w:t>
            </w:r>
            <w:r>
              <w:rPr>
                <w:rFonts w:hint="eastAsia" w:ascii="仿宋_GB2312" w:hAnsi="宋体" w:eastAsia="仿宋_GB2312"/>
                <w:b/>
                <w:sz w:val="24"/>
                <w:szCs w:val="24"/>
              </w:rPr>
              <w:t>34.履约评价</w:t>
            </w:r>
          </w:p>
          <w:p>
            <w:pPr>
              <w:pStyle w:val="6"/>
              <w:widowControl/>
              <w:numPr>
                <w:ilvl w:val="5"/>
                <w:numId w:val="0"/>
              </w:numPr>
              <w:tabs>
                <w:tab w:val="left" w:pos="1152"/>
              </w:tabs>
              <w:spacing w:after="60" w:line="360" w:lineRule="auto"/>
              <w:ind w:firstLine="482" w:firstLineChars="200"/>
              <w:jc w:val="left"/>
              <w:rPr>
                <w:rFonts w:hint="eastAsia" w:ascii="仿宋_GB2312" w:hAnsi="宋体" w:eastAsia="仿宋_GB2312"/>
                <w:sz w:val="24"/>
                <w:szCs w:val="24"/>
              </w:rPr>
            </w:pPr>
            <w:r>
              <w:rPr>
                <w:rFonts w:hint="eastAsia" w:ascii="仿宋_GB2312" w:hAnsi="宋体" w:eastAsia="仿宋_GB2312"/>
                <w:b/>
                <w:sz w:val="24"/>
                <w:szCs w:val="24"/>
              </w:rPr>
              <w:t>34.1</w:t>
            </w:r>
            <w:r>
              <w:rPr>
                <w:rFonts w:hint="eastAsia" w:ascii="仿宋_GB2312" w:hAnsi="宋体" w:eastAsia="仿宋_GB2312"/>
                <w:sz w:val="24"/>
                <w:szCs w:val="24"/>
              </w:rPr>
              <w:t>委托人将在建设项目实施过程中，对工程咨询单位及其工程咨询机构的履约情况进行综合评价，必要时委托人也可对工程咨询机构的工程咨询单位人员进行定性评价。委托人会将项目组织机构的履约评价及工程咨询单位人员的定性评价结果书面通知工程咨询单位。委托人也可视情况需要在其门户网站或相关媒体上公布工程咨询单位的履约评价结果。</w:t>
            </w:r>
          </w:p>
          <w:p>
            <w:pPr>
              <w:adjustRightInd w:val="0"/>
              <w:snapToGrid w:val="0"/>
              <w:spacing w:line="360" w:lineRule="auto"/>
              <w:outlineLvl w:val="0"/>
            </w:pPr>
          </w:p>
          <w:p>
            <w:pPr>
              <w:adjustRightInd w:val="0"/>
              <w:snapToGrid w:val="0"/>
              <w:spacing w:line="360" w:lineRule="auto"/>
              <w:ind w:firstLine="415" w:firstLineChars="198"/>
              <w:outlineLvl w:val="0"/>
            </w:pPr>
          </w:p>
          <w:p>
            <w:pPr>
              <w:rPr>
                <w:rFonts w:hint="eastAsia" w:ascii="仿宋" w:hAnsi="仿宋" w:eastAsia="仿宋" w:cs="仿宋"/>
              </w:rPr>
            </w:pPr>
          </w:p>
          <w:p>
            <w:pPr>
              <w:spacing w:line="360" w:lineRule="auto"/>
              <w:rPr>
                <w:rFonts w:hint="eastAsia" w:ascii="宋体" w:hAnsi="宋体"/>
                <w:kern w:val="18"/>
                <w:szCs w:val="21"/>
              </w:rPr>
            </w:pP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inherit">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EC25A"/>
    <w:multiLevelType w:val="singleLevel"/>
    <w:tmpl w:val="A39EC25A"/>
    <w:lvl w:ilvl="0" w:tentative="0">
      <w:start w:val="1"/>
      <w:numFmt w:val="decimal"/>
      <w:suff w:val="nothing"/>
      <w:lvlText w:val="%1、"/>
      <w:lvlJc w:val="left"/>
    </w:lvl>
  </w:abstractNum>
  <w:abstractNum w:abstractNumId="1">
    <w:nsid w:val="AB5BB0E5"/>
    <w:multiLevelType w:val="singleLevel"/>
    <w:tmpl w:val="AB5BB0E5"/>
    <w:lvl w:ilvl="0" w:tentative="0">
      <w:start w:val="1"/>
      <w:numFmt w:val="decimal"/>
      <w:suff w:val="nothing"/>
      <w:lvlText w:val="%1、"/>
      <w:lvlJc w:val="left"/>
    </w:lvl>
  </w:abstractNum>
  <w:abstractNum w:abstractNumId="2">
    <w:nsid w:val="FFFFFF80"/>
    <w:multiLevelType w:val="singleLevel"/>
    <w:tmpl w:val="FFFFFF80"/>
    <w:lvl w:ilvl="0" w:tentative="0">
      <w:start w:val="1"/>
      <w:numFmt w:val="bullet"/>
      <w:lvlText w:val=""/>
      <w:lvlJc w:val="left"/>
      <w:pPr>
        <w:tabs>
          <w:tab w:val="left" w:pos="2040"/>
        </w:tabs>
        <w:ind w:left="2040" w:hanging="360"/>
      </w:pPr>
      <w:rPr>
        <w:rFonts w:hint="default" w:ascii="Wingdings" w:hAnsi="Wingdings"/>
      </w:rPr>
    </w:lvl>
  </w:abstractNum>
  <w:abstractNum w:abstractNumId="3">
    <w:nsid w:val="00000006"/>
    <w:multiLevelType w:val="multilevel"/>
    <w:tmpl w:val="00000006"/>
    <w:lvl w:ilvl="0" w:tentative="0">
      <w:start w:val="1"/>
      <w:numFmt w:val="upperLetter"/>
      <w:pStyle w:val="5"/>
      <w:lvlText w:val="%1．"/>
      <w:lvlJc w:val="left"/>
      <w:pPr>
        <w:tabs>
          <w:tab w:val="left" w:pos="1495"/>
        </w:tabs>
        <w:ind w:left="1495" w:hanging="360"/>
      </w:pPr>
      <w:rPr>
        <w:rFonts w:hint="eastAsia"/>
      </w:rPr>
    </w:lvl>
    <w:lvl w:ilvl="1" w:tentative="0">
      <w:start w:val="1"/>
      <w:numFmt w:val="lowerLetter"/>
      <w:lvlText w:val="%2)"/>
      <w:lvlJc w:val="left"/>
      <w:pPr>
        <w:tabs>
          <w:tab w:val="left" w:pos="1975"/>
        </w:tabs>
        <w:ind w:left="1975" w:hanging="420"/>
      </w:pPr>
    </w:lvl>
    <w:lvl w:ilvl="2" w:tentative="0">
      <w:start w:val="1"/>
      <w:numFmt w:val="lowerRoman"/>
      <w:lvlText w:val="%3."/>
      <w:lvlJc w:val="right"/>
      <w:pPr>
        <w:tabs>
          <w:tab w:val="left" w:pos="2395"/>
        </w:tabs>
        <w:ind w:left="2395" w:hanging="420"/>
      </w:pPr>
    </w:lvl>
    <w:lvl w:ilvl="3" w:tentative="0">
      <w:start w:val="1"/>
      <w:numFmt w:val="decimal"/>
      <w:lvlText w:val="%4."/>
      <w:lvlJc w:val="left"/>
      <w:pPr>
        <w:tabs>
          <w:tab w:val="left" w:pos="2815"/>
        </w:tabs>
        <w:ind w:left="2815" w:hanging="420"/>
      </w:pPr>
    </w:lvl>
    <w:lvl w:ilvl="4" w:tentative="0">
      <w:start w:val="1"/>
      <w:numFmt w:val="lowerLetter"/>
      <w:lvlText w:val="%5)"/>
      <w:lvlJc w:val="left"/>
      <w:pPr>
        <w:tabs>
          <w:tab w:val="left" w:pos="3235"/>
        </w:tabs>
        <w:ind w:left="3235" w:hanging="420"/>
      </w:pPr>
    </w:lvl>
    <w:lvl w:ilvl="5" w:tentative="0">
      <w:start w:val="1"/>
      <w:numFmt w:val="lowerRoman"/>
      <w:lvlText w:val="%6."/>
      <w:lvlJc w:val="right"/>
      <w:pPr>
        <w:tabs>
          <w:tab w:val="left" w:pos="3655"/>
        </w:tabs>
        <w:ind w:left="3655" w:hanging="420"/>
      </w:pPr>
    </w:lvl>
    <w:lvl w:ilvl="6" w:tentative="0">
      <w:start w:val="1"/>
      <w:numFmt w:val="decimal"/>
      <w:lvlText w:val="%7."/>
      <w:lvlJc w:val="left"/>
      <w:pPr>
        <w:tabs>
          <w:tab w:val="left" w:pos="4075"/>
        </w:tabs>
        <w:ind w:left="4075" w:hanging="420"/>
      </w:pPr>
    </w:lvl>
    <w:lvl w:ilvl="7" w:tentative="0">
      <w:start w:val="1"/>
      <w:numFmt w:val="lowerLetter"/>
      <w:lvlText w:val="%8)"/>
      <w:lvlJc w:val="left"/>
      <w:pPr>
        <w:tabs>
          <w:tab w:val="left" w:pos="4495"/>
        </w:tabs>
        <w:ind w:left="4495" w:hanging="420"/>
      </w:pPr>
    </w:lvl>
    <w:lvl w:ilvl="8" w:tentative="0">
      <w:start w:val="1"/>
      <w:numFmt w:val="lowerRoman"/>
      <w:lvlText w:val="%9."/>
      <w:lvlJc w:val="right"/>
      <w:pPr>
        <w:tabs>
          <w:tab w:val="left" w:pos="4915"/>
        </w:tabs>
        <w:ind w:left="4915" w:hanging="420"/>
      </w:pPr>
    </w:lvl>
  </w:abstractNum>
  <w:abstractNum w:abstractNumId="4">
    <w:nsid w:val="0D2112E5"/>
    <w:multiLevelType w:val="singleLevel"/>
    <w:tmpl w:val="0D2112E5"/>
    <w:lvl w:ilvl="0" w:tentative="0">
      <w:start w:val="1"/>
      <w:numFmt w:val="decimal"/>
      <w:suff w:val="nothing"/>
      <w:lvlText w:val="%1、"/>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MWUwMjc0YTkwZTk2Nzg0NWU2MzU0MzE1ZDZmOGYifQ=="/>
  </w:docVars>
  <w:rsids>
    <w:rsidRoot w:val="00172A27"/>
    <w:rsid w:val="00050A1C"/>
    <w:rsid w:val="00095E46"/>
    <w:rsid w:val="00096C91"/>
    <w:rsid w:val="000A5E86"/>
    <w:rsid w:val="000E50F2"/>
    <w:rsid w:val="000F339A"/>
    <w:rsid w:val="00110161"/>
    <w:rsid w:val="00127693"/>
    <w:rsid w:val="00175391"/>
    <w:rsid w:val="00195BBC"/>
    <w:rsid w:val="001F2C01"/>
    <w:rsid w:val="00205A33"/>
    <w:rsid w:val="002522B6"/>
    <w:rsid w:val="0025405B"/>
    <w:rsid w:val="002934B1"/>
    <w:rsid w:val="002A7F3A"/>
    <w:rsid w:val="002B26AF"/>
    <w:rsid w:val="002C31A1"/>
    <w:rsid w:val="002D29DA"/>
    <w:rsid w:val="002E3973"/>
    <w:rsid w:val="002E5D6D"/>
    <w:rsid w:val="002E6005"/>
    <w:rsid w:val="00310012"/>
    <w:rsid w:val="0031670D"/>
    <w:rsid w:val="003A63C1"/>
    <w:rsid w:val="003E1953"/>
    <w:rsid w:val="0040252E"/>
    <w:rsid w:val="00413C98"/>
    <w:rsid w:val="0041477D"/>
    <w:rsid w:val="00436F19"/>
    <w:rsid w:val="00441661"/>
    <w:rsid w:val="0044419C"/>
    <w:rsid w:val="0044670D"/>
    <w:rsid w:val="00465EBF"/>
    <w:rsid w:val="00466054"/>
    <w:rsid w:val="004A07AE"/>
    <w:rsid w:val="004B447F"/>
    <w:rsid w:val="004C3634"/>
    <w:rsid w:val="005031F1"/>
    <w:rsid w:val="005530C3"/>
    <w:rsid w:val="00555EE3"/>
    <w:rsid w:val="005608AD"/>
    <w:rsid w:val="00562D2B"/>
    <w:rsid w:val="00591FC6"/>
    <w:rsid w:val="005B7892"/>
    <w:rsid w:val="005D3437"/>
    <w:rsid w:val="00602164"/>
    <w:rsid w:val="006213FF"/>
    <w:rsid w:val="00625315"/>
    <w:rsid w:val="00654479"/>
    <w:rsid w:val="006820A8"/>
    <w:rsid w:val="006C0C4F"/>
    <w:rsid w:val="006F62BC"/>
    <w:rsid w:val="00744B31"/>
    <w:rsid w:val="00766811"/>
    <w:rsid w:val="00770BB3"/>
    <w:rsid w:val="00776575"/>
    <w:rsid w:val="007814BD"/>
    <w:rsid w:val="007A2731"/>
    <w:rsid w:val="007B5B71"/>
    <w:rsid w:val="007D09E7"/>
    <w:rsid w:val="008107A4"/>
    <w:rsid w:val="008208F2"/>
    <w:rsid w:val="008458AA"/>
    <w:rsid w:val="00865334"/>
    <w:rsid w:val="008800D8"/>
    <w:rsid w:val="008A48A5"/>
    <w:rsid w:val="008C3787"/>
    <w:rsid w:val="008D64AE"/>
    <w:rsid w:val="008E4767"/>
    <w:rsid w:val="008F6F6F"/>
    <w:rsid w:val="00931BAA"/>
    <w:rsid w:val="0097343A"/>
    <w:rsid w:val="00983C58"/>
    <w:rsid w:val="009A16DA"/>
    <w:rsid w:val="009A2BF6"/>
    <w:rsid w:val="009B1F52"/>
    <w:rsid w:val="009B5486"/>
    <w:rsid w:val="009B6543"/>
    <w:rsid w:val="009E6F91"/>
    <w:rsid w:val="00A01267"/>
    <w:rsid w:val="00A023B5"/>
    <w:rsid w:val="00A14EFA"/>
    <w:rsid w:val="00A909DC"/>
    <w:rsid w:val="00AA5EF5"/>
    <w:rsid w:val="00AD5370"/>
    <w:rsid w:val="00AD67CB"/>
    <w:rsid w:val="00AE4C83"/>
    <w:rsid w:val="00B12C59"/>
    <w:rsid w:val="00B26BC2"/>
    <w:rsid w:val="00B62F73"/>
    <w:rsid w:val="00B67F7F"/>
    <w:rsid w:val="00B70792"/>
    <w:rsid w:val="00B93C69"/>
    <w:rsid w:val="00B965B3"/>
    <w:rsid w:val="00BB0AE8"/>
    <w:rsid w:val="00BB650F"/>
    <w:rsid w:val="00BC06EA"/>
    <w:rsid w:val="00BC128B"/>
    <w:rsid w:val="00BC1304"/>
    <w:rsid w:val="00C162D4"/>
    <w:rsid w:val="00C353A7"/>
    <w:rsid w:val="00C3730E"/>
    <w:rsid w:val="00C71B50"/>
    <w:rsid w:val="00C93BE6"/>
    <w:rsid w:val="00CB4207"/>
    <w:rsid w:val="00CE1750"/>
    <w:rsid w:val="00CE7D13"/>
    <w:rsid w:val="00D00E30"/>
    <w:rsid w:val="00D316A3"/>
    <w:rsid w:val="00D32A44"/>
    <w:rsid w:val="00D67990"/>
    <w:rsid w:val="00DA0C00"/>
    <w:rsid w:val="00DE0DCA"/>
    <w:rsid w:val="00DE227B"/>
    <w:rsid w:val="00DE5929"/>
    <w:rsid w:val="00E028F4"/>
    <w:rsid w:val="00E044DE"/>
    <w:rsid w:val="00E325E6"/>
    <w:rsid w:val="00E852FA"/>
    <w:rsid w:val="00E95487"/>
    <w:rsid w:val="00EC2B65"/>
    <w:rsid w:val="00EC47B9"/>
    <w:rsid w:val="00ED1DF0"/>
    <w:rsid w:val="00ED5932"/>
    <w:rsid w:val="00EE01A9"/>
    <w:rsid w:val="00EF437C"/>
    <w:rsid w:val="00EF66BD"/>
    <w:rsid w:val="00F44670"/>
    <w:rsid w:val="00F52EDB"/>
    <w:rsid w:val="00F66DDE"/>
    <w:rsid w:val="00F8640E"/>
    <w:rsid w:val="00F900A9"/>
    <w:rsid w:val="00FA069A"/>
    <w:rsid w:val="00FA2F33"/>
    <w:rsid w:val="00FD3ADD"/>
    <w:rsid w:val="01DE43A5"/>
    <w:rsid w:val="02331551"/>
    <w:rsid w:val="026C7677"/>
    <w:rsid w:val="02F15964"/>
    <w:rsid w:val="03D94044"/>
    <w:rsid w:val="042743DD"/>
    <w:rsid w:val="04825F75"/>
    <w:rsid w:val="057418A8"/>
    <w:rsid w:val="058F381A"/>
    <w:rsid w:val="05934512"/>
    <w:rsid w:val="06834158"/>
    <w:rsid w:val="06B96B2D"/>
    <w:rsid w:val="06F47BCF"/>
    <w:rsid w:val="07974BA3"/>
    <w:rsid w:val="07CC43DC"/>
    <w:rsid w:val="07CF79D0"/>
    <w:rsid w:val="085E6C57"/>
    <w:rsid w:val="08A0744A"/>
    <w:rsid w:val="08B7798E"/>
    <w:rsid w:val="08FC0DC3"/>
    <w:rsid w:val="09180E69"/>
    <w:rsid w:val="097E5A48"/>
    <w:rsid w:val="09AE46C6"/>
    <w:rsid w:val="0A4F2548"/>
    <w:rsid w:val="0ACA1703"/>
    <w:rsid w:val="0B1F1AA1"/>
    <w:rsid w:val="0B5D018D"/>
    <w:rsid w:val="0C516B2F"/>
    <w:rsid w:val="0CAC35BF"/>
    <w:rsid w:val="0CE854A9"/>
    <w:rsid w:val="0D665486"/>
    <w:rsid w:val="0DE521AE"/>
    <w:rsid w:val="0E190EFB"/>
    <w:rsid w:val="0EA05AF0"/>
    <w:rsid w:val="0F857E89"/>
    <w:rsid w:val="0F93209D"/>
    <w:rsid w:val="105E1771"/>
    <w:rsid w:val="112A4B96"/>
    <w:rsid w:val="115245CD"/>
    <w:rsid w:val="11AE65D9"/>
    <w:rsid w:val="12FF279C"/>
    <w:rsid w:val="1320530C"/>
    <w:rsid w:val="132A2545"/>
    <w:rsid w:val="136F6386"/>
    <w:rsid w:val="13C951A5"/>
    <w:rsid w:val="13ED260E"/>
    <w:rsid w:val="1475193A"/>
    <w:rsid w:val="149E07BE"/>
    <w:rsid w:val="15420057"/>
    <w:rsid w:val="15CB5502"/>
    <w:rsid w:val="16020356"/>
    <w:rsid w:val="160B6E1E"/>
    <w:rsid w:val="16423B79"/>
    <w:rsid w:val="168D00E6"/>
    <w:rsid w:val="16F51102"/>
    <w:rsid w:val="17117C83"/>
    <w:rsid w:val="17EB6525"/>
    <w:rsid w:val="180704AB"/>
    <w:rsid w:val="18185886"/>
    <w:rsid w:val="18852867"/>
    <w:rsid w:val="18CA3700"/>
    <w:rsid w:val="195B6AE2"/>
    <w:rsid w:val="19D35A19"/>
    <w:rsid w:val="1A0263BB"/>
    <w:rsid w:val="1B3A2E10"/>
    <w:rsid w:val="1B7371F3"/>
    <w:rsid w:val="1B8308F5"/>
    <w:rsid w:val="1B84478A"/>
    <w:rsid w:val="1C0977F9"/>
    <w:rsid w:val="1C9E4D73"/>
    <w:rsid w:val="1CF1405C"/>
    <w:rsid w:val="1CF571E1"/>
    <w:rsid w:val="1DB62459"/>
    <w:rsid w:val="2078290C"/>
    <w:rsid w:val="20EB59B5"/>
    <w:rsid w:val="210C2C6A"/>
    <w:rsid w:val="21285245"/>
    <w:rsid w:val="21D74917"/>
    <w:rsid w:val="21F62E87"/>
    <w:rsid w:val="22583052"/>
    <w:rsid w:val="22607DDC"/>
    <w:rsid w:val="227F5DD7"/>
    <w:rsid w:val="237558BA"/>
    <w:rsid w:val="238121E0"/>
    <w:rsid w:val="24721A4F"/>
    <w:rsid w:val="24A963BA"/>
    <w:rsid w:val="251152AD"/>
    <w:rsid w:val="25181AF5"/>
    <w:rsid w:val="251A7287"/>
    <w:rsid w:val="252B5AE1"/>
    <w:rsid w:val="25884D88"/>
    <w:rsid w:val="258B5385"/>
    <w:rsid w:val="25A26681"/>
    <w:rsid w:val="25B73388"/>
    <w:rsid w:val="26F8265B"/>
    <w:rsid w:val="276F226F"/>
    <w:rsid w:val="280812EB"/>
    <w:rsid w:val="283B1CEF"/>
    <w:rsid w:val="28DE6BDB"/>
    <w:rsid w:val="2931217A"/>
    <w:rsid w:val="2A8F0E5E"/>
    <w:rsid w:val="2AA825BA"/>
    <w:rsid w:val="2BFE0BAD"/>
    <w:rsid w:val="2C81102E"/>
    <w:rsid w:val="2CE23089"/>
    <w:rsid w:val="2D2409A6"/>
    <w:rsid w:val="2D37171F"/>
    <w:rsid w:val="2DA537DC"/>
    <w:rsid w:val="2E1278BA"/>
    <w:rsid w:val="2EB459B9"/>
    <w:rsid w:val="2EEA2F06"/>
    <w:rsid w:val="2F1D3326"/>
    <w:rsid w:val="2F746B0D"/>
    <w:rsid w:val="32644138"/>
    <w:rsid w:val="3272660E"/>
    <w:rsid w:val="327B1785"/>
    <w:rsid w:val="328A7CCB"/>
    <w:rsid w:val="32A3699E"/>
    <w:rsid w:val="33687A8E"/>
    <w:rsid w:val="337E0D2B"/>
    <w:rsid w:val="33DA62C5"/>
    <w:rsid w:val="33DB553A"/>
    <w:rsid w:val="340165B0"/>
    <w:rsid w:val="342403F6"/>
    <w:rsid w:val="35CF3B8F"/>
    <w:rsid w:val="35E94646"/>
    <w:rsid w:val="36601204"/>
    <w:rsid w:val="366D59FF"/>
    <w:rsid w:val="373570F5"/>
    <w:rsid w:val="375705F5"/>
    <w:rsid w:val="39005FDF"/>
    <w:rsid w:val="396C38BF"/>
    <w:rsid w:val="39FD5679"/>
    <w:rsid w:val="3A0912A4"/>
    <w:rsid w:val="3A6056F9"/>
    <w:rsid w:val="3A6E2C14"/>
    <w:rsid w:val="3A931241"/>
    <w:rsid w:val="3B30129E"/>
    <w:rsid w:val="3B905B71"/>
    <w:rsid w:val="3C690DB7"/>
    <w:rsid w:val="3C892325"/>
    <w:rsid w:val="3CE57D99"/>
    <w:rsid w:val="3D764384"/>
    <w:rsid w:val="3EB7278E"/>
    <w:rsid w:val="40592B2E"/>
    <w:rsid w:val="406225F7"/>
    <w:rsid w:val="410872A4"/>
    <w:rsid w:val="413E1F01"/>
    <w:rsid w:val="41591AA1"/>
    <w:rsid w:val="41AE4380"/>
    <w:rsid w:val="43074685"/>
    <w:rsid w:val="431D457C"/>
    <w:rsid w:val="436B7DE8"/>
    <w:rsid w:val="44757768"/>
    <w:rsid w:val="451577F8"/>
    <w:rsid w:val="454E0A27"/>
    <w:rsid w:val="45EE255B"/>
    <w:rsid w:val="46583E28"/>
    <w:rsid w:val="46817096"/>
    <w:rsid w:val="47330C59"/>
    <w:rsid w:val="48234D60"/>
    <w:rsid w:val="48C77B9D"/>
    <w:rsid w:val="48E35624"/>
    <w:rsid w:val="492038D6"/>
    <w:rsid w:val="49386F00"/>
    <w:rsid w:val="49390187"/>
    <w:rsid w:val="4964594D"/>
    <w:rsid w:val="49C20689"/>
    <w:rsid w:val="4A433F31"/>
    <w:rsid w:val="4ABB4785"/>
    <w:rsid w:val="4B3B5D39"/>
    <w:rsid w:val="4BA118C4"/>
    <w:rsid w:val="4BB9730F"/>
    <w:rsid w:val="4C6B5005"/>
    <w:rsid w:val="4E0E3C1F"/>
    <w:rsid w:val="4E2F42A8"/>
    <w:rsid w:val="4E3C1C68"/>
    <w:rsid w:val="4EB307FF"/>
    <w:rsid w:val="4EBF1BB0"/>
    <w:rsid w:val="4F156969"/>
    <w:rsid w:val="4F724B17"/>
    <w:rsid w:val="4FC402F7"/>
    <w:rsid w:val="4FCD2F74"/>
    <w:rsid w:val="50C00584"/>
    <w:rsid w:val="50DA1584"/>
    <w:rsid w:val="50FD4071"/>
    <w:rsid w:val="514359E5"/>
    <w:rsid w:val="51B15C09"/>
    <w:rsid w:val="52955233"/>
    <w:rsid w:val="53EB0304"/>
    <w:rsid w:val="54B16C35"/>
    <w:rsid w:val="554A7A81"/>
    <w:rsid w:val="55823383"/>
    <w:rsid w:val="55834CC1"/>
    <w:rsid w:val="55A43D85"/>
    <w:rsid w:val="561E5DB1"/>
    <w:rsid w:val="56A03EEE"/>
    <w:rsid w:val="56D837F2"/>
    <w:rsid w:val="57215D00"/>
    <w:rsid w:val="57242B74"/>
    <w:rsid w:val="574F4081"/>
    <w:rsid w:val="576171AC"/>
    <w:rsid w:val="57B324B6"/>
    <w:rsid w:val="57FD345F"/>
    <w:rsid w:val="590105B6"/>
    <w:rsid w:val="594552DE"/>
    <w:rsid w:val="59CC5D88"/>
    <w:rsid w:val="59F10681"/>
    <w:rsid w:val="5A3C46B6"/>
    <w:rsid w:val="5A532EAA"/>
    <w:rsid w:val="5A8D39BF"/>
    <w:rsid w:val="5B6A6A41"/>
    <w:rsid w:val="5BAA6A2E"/>
    <w:rsid w:val="5BF42EB4"/>
    <w:rsid w:val="5C0A4759"/>
    <w:rsid w:val="5D1450F9"/>
    <w:rsid w:val="5D191A8E"/>
    <w:rsid w:val="5D91288F"/>
    <w:rsid w:val="5D9D1011"/>
    <w:rsid w:val="5F31706D"/>
    <w:rsid w:val="5FE130AE"/>
    <w:rsid w:val="5FE61B9E"/>
    <w:rsid w:val="60322703"/>
    <w:rsid w:val="607551B6"/>
    <w:rsid w:val="60A400E5"/>
    <w:rsid w:val="60CF4BF0"/>
    <w:rsid w:val="61A711A7"/>
    <w:rsid w:val="626665B8"/>
    <w:rsid w:val="62C404E2"/>
    <w:rsid w:val="62C45985"/>
    <w:rsid w:val="62F54E50"/>
    <w:rsid w:val="630B4937"/>
    <w:rsid w:val="63175EC5"/>
    <w:rsid w:val="63291C8F"/>
    <w:rsid w:val="63291CF3"/>
    <w:rsid w:val="63416CE9"/>
    <w:rsid w:val="645052B9"/>
    <w:rsid w:val="64D4546E"/>
    <w:rsid w:val="65A26387"/>
    <w:rsid w:val="660F7ACA"/>
    <w:rsid w:val="661D4AC7"/>
    <w:rsid w:val="66280907"/>
    <w:rsid w:val="66DD7AEA"/>
    <w:rsid w:val="66E127B2"/>
    <w:rsid w:val="671F5EBB"/>
    <w:rsid w:val="675D5914"/>
    <w:rsid w:val="67D933FD"/>
    <w:rsid w:val="68865710"/>
    <w:rsid w:val="68B871F7"/>
    <w:rsid w:val="694F266B"/>
    <w:rsid w:val="699F2BCD"/>
    <w:rsid w:val="69AE313A"/>
    <w:rsid w:val="6BC42C2A"/>
    <w:rsid w:val="6C4D5FB1"/>
    <w:rsid w:val="6CA27E8A"/>
    <w:rsid w:val="6D290FC9"/>
    <w:rsid w:val="6D670B85"/>
    <w:rsid w:val="6E0D0839"/>
    <w:rsid w:val="6ECB5BF3"/>
    <w:rsid w:val="6F087DA2"/>
    <w:rsid w:val="6FBC0714"/>
    <w:rsid w:val="70F61271"/>
    <w:rsid w:val="710441DC"/>
    <w:rsid w:val="712B4A9A"/>
    <w:rsid w:val="71947DAB"/>
    <w:rsid w:val="71EF3DB1"/>
    <w:rsid w:val="738A6473"/>
    <w:rsid w:val="73D55BEB"/>
    <w:rsid w:val="748F570F"/>
    <w:rsid w:val="75164380"/>
    <w:rsid w:val="75AE2636"/>
    <w:rsid w:val="764E1592"/>
    <w:rsid w:val="76DF6B95"/>
    <w:rsid w:val="77813F12"/>
    <w:rsid w:val="78694B1C"/>
    <w:rsid w:val="78745F9E"/>
    <w:rsid w:val="78A922B6"/>
    <w:rsid w:val="7BA614F8"/>
    <w:rsid w:val="7BB35A02"/>
    <w:rsid w:val="7DE26E71"/>
    <w:rsid w:val="7DF65EDD"/>
    <w:rsid w:val="7ECB73D6"/>
    <w:rsid w:val="7EEC6BDF"/>
    <w:rsid w:val="7F0717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00" w:lineRule="auto"/>
      <w:jc w:val="center"/>
      <w:outlineLvl w:val="0"/>
    </w:pPr>
    <w:rPr>
      <w:rFonts w:ascii="Times New Roman" w:hAnsi="Times New Roman" w:eastAsia="仿宋"/>
      <w:b/>
      <w:bCs/>
      <w:kern w:val="44"/>
      <w:sz w:val="28"/>
      <w:szCs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qFormat/>
    <w:uiPriority w:val="0"/>
    <w:pPr>
      <w:keepNext/>
      <w:numPr>
        <w:ilvl w:val="0"/>
        <w:numId w:val="1"/>
      </w:numPr>
      <w:outlineLvl w:val="2"/>
    </w:pPr>
    <w:rPr>
      <w:rFonts w:eastAsia="黑体"/>
      <w:sz w:val="44"/>
    </w:rPr>
  </w:style>
  <w:style w:type="paragraph" w:styleId="6">
    <w:name w:val="heading 6"/>
    <w:basedOn w:val="1"/>
    <w:next w:val="1"/>
    <w:qFormat/>
    <w:uiPriority w:val="0"/>
    <w:pPr>
      <w:numPr>
        <w:ilvl w:val="5"/>
        <w:numId w:val="2"/>
      </w:numPr>
      <w:tabs>
        <w:tab w:val="left" w:pos="2040"/>
      </w:tabs>
      <w:ind w:left="1152" w:leftChars="0" w:hanging="432" w:firstLineChars="0"/>
      <w:outlineLvl w:val="5"/>
    </w:pPr>
    <w:rPr>
      <w:rFonts w:ascii="Times New Roman" w:hAnsi="Times New Roman"/>
      <w:kern w:val="0"/>
      <w:sz w:val="20"/>
      <w:szCs w:val="20"/>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7">
    <w:name w:val="Normal Indent"/>
    <w:basedOn w:val="1"/>
    <w:qFormat/>
    <w:uiPriority w:val="0"/>
    <w:pPr>
      <w:adjustRightInd w:val="0"/>
      <w:spacing w:line="360" w:lineRule="atLeast"/>
      <w:ind w:firstLine="420"/>
      <w:jc w:val="left"/>
      <w:textAlignment w:val="baseline"/>
    </w:pPr>
    <w:rPr>
      <w:kern w:val="0"/>
      <w:sz w:val="24"/>
    </w:rPr>
  </w:style>
  <w:style w:type="paragraph" w:styleId="8">
    <w:name w:val="annotation text"/>
    <w:basedOn w:val="1"/>
    <w:link w:val="23"/>
    <w:unhideWhenUsed/>
    <w:qFormat/>
    <w:uiPriority w:val="99"/>
    <w:pPr>
      <w:jc w:val="left"/>
    </w:pPr>
  </w:style>
  <w:style w:type="paragraph" w:styleId="9">
    <w:name w:val="Body Text Indent"/>
    <w:basedOn w:val="1"/>
    <w:unhideWhenUsed/>
    <w:qFormat/>
    <w:uiPriority w:val="99"/>
    <w:pPr>
      <w:spacing w:after="120"/>
      <w:ind w:left="420" w:leftChars="200"/>
    </w:pPr>
  </w:style>
  <w:style w:type="paragraph" w:styleId="10">
    <w:name w:val="Plain Text"/>
    <w:basedOn w:val="1"/>
    <w:qFormat/>
    <w:uiPriority w:val="0"/>
    <w:rPr>
      <w:rFonts w:ascii="宋体" w:hAnsi="Courier New" w:cs="Courier New"/>
      <w:kern w:val="2"/>
      <w:sz w:val="21"/>
      <w:szCs w:val="21"/>
    </w:rPr>
  </w:style>
  <w:style w:type="paragraph" w:styleId="11">
    <w:name w:val="Body Text Indent 2"/>
    <w:basedOn w:val="1"/>
    <w:semiHidden/>
    <w:qFormat/>
    <w:uiPriority w:val="0"/>
    <w:pPr>
      <w:spacing w:after="120" w:line="480" w:lineRule="auto"/>
      <w:ind w:left="420" w:leftChars="200"/>
    </w:pPr>
    <w:rPr>
      <w:rFonts w:ascii="Times New Roman" w:hAnsi="Times New Roman"/>
      <w:kern w:val="0"/>
      <w:sz w:val="20"/>
      <w:szCs w:val="24"/>
    </w:rPr>
  </w:style>
  <w:style w:type="paragraph" w:styleId="12">
    <w:name w:val="Balloon Text"/>
    <w:basedOn w:val="1"/>
    <w:link w:val="24"/>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Normal (Web)"/>
    <w:basedOn w:val="1"/>
    <w:qFormat/>
    <w:uiPriority w:val="99"/>
    <w:pPr>
      <w:widowControl/>
      <w:spacing w:before="100" w:beforeAutospacing="1" w:after="100" w:afterAutospacing="1" w:line="283" w:lineRule="atLeast"/>
      <w:jc w:val="left"/>
    </w:pPr>
    <w:rPr>
      <w:rFonts w:ascii="宋体" w:hAnsi="宋体"/>
      <w:color w:val="000000"/>
      <w:kern w:val="0"/>
      <w:sz w:val="19"/>
      <w:szCs w:val="19"/>
    </w:rPr>
  </w:style>
  <w:style w:type="paragraph" w:styleId="18">
    <w:name w:val="Title"/>
    <w:basedOn w:val="1"/>
    <w:next w:val="1"/>
    <w:qFormat/>
    <w:uiPriority w:val="0"/>
    <w:pPr>
      <w:spacing w:before="240" w:after="60"/>
      <w:jc w:val="center"/>
      <w:outlineLvl w:val="0"/>
    </w:pPr>
    <w:rPr>
      <w:rFonts w:ascii="Cambria" w:hAnsi="Cambria" w:cs="Times New Roman"/>
      <w:b/>
      <w:bCs/>
      <w:sz w:val="32"/>
      <w:szCs w:val="32"/>
    </w:rPr>
  </w:style>
  <w:style w:type="paragraph" w:styleId="19">
    <w:name w:val="annotation subject"/>
    <w:basedOn w:val="8"/>
    <w:next w:val="8"/>
    <w:link w:val="26"/>
    <w:qFormat/>
    <w:uiPriority w:val="0"/>
    <w:rPr>
      <w:b/>
      <w:bCs/>
    </w:rPr>
  </w:style>
  <w:style w:type="character" w:styleId="22">
    <w:name w:val="annotation reference"/>
    <w:qFormat/>
    <w:uiPriority w:val="0"/>
    <w:rPr>
      <w:sz w:val="21"/>
      <w:szCs w:val="21"/>
    </w:rPr>
  </w:style>
  <w:style w:type="character" w:customStyle="1" w:styleId="23">
    <w:name w:val="批注文字 字符"/>
    <w:link w:val="8"/>
    <w:qFormat/>
    <w:uiPriority w:val="99"/>
    <w:rPr>
      <w:kern w:val="2"/>
      <w:sz w:val="21"/>
      <w:szCs w:val="24"/>
    </w:rPr>
  </w:style>
  <w:style w:type="character" w:customStyle="1" w:styleId="24">
    <w:name w:val="批注框文本 字符"/>
    <w:link w:val="12"/>
    <w:qFormat/>
    <w:uiPriority w:val="0"/>
    <w:rPr>
      <w:kern w:val="2"/>
      <w:sz w:val="18"/>
      <w:szCs w:val="18"/>
    </w:rPr>
  </w:style>
  <w:style w:type="character" w:customStyle="1" w:styleId="25">
    <w:name w:val="页眉 字符"/>
    <w:link w:val="14"/>
    <w:qFormat/>
    <w:uiPriority w:val="0"/>
    <w:rPr>
      <w:kern w:val="2"/>
      <w:sz w:val="18"/>
      <w:szCs w:val="18"/>
    </w:rPr>
  </w:style>
  <w:style w:type="character" w:customStyle="1" w:styleId="26">
    <w:name w:val="批注主题 字符"/>
    <w:link w:val="19"/>
    <w:qFormat/>
    <w:uiPriority w:val="0"/>
    <w:rPr>
      <w:b/>
      <w:bCs/>
      <w:kern w:val="2"/>
      <w:sz w:val="21"/>
      <w:szCs w:val="24"/>
    </w:rPr>
  </w:style>
  <w:style w:type="paragraph" w:customStyle="1" w:styleId="27">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Body Text Indent 2_0"/>
    <w:basedOn w:val="27"/>
    <w:semiHidden/>
    <w:qFormat/>
    <w:uiPriority w:val="0"/>
    <w:pPr>
      <w:spacing w:after="120" w:line="480" w:lineRule="auto"/>
      <w:ind w:left="420" w:leftChars="200"/>
    </w:pPr>
  </w:style>
  <w:style w:type="paragraph" w:customStyle="1" w:styleId="29">
    <w:name w:val="！表格内容"/>
    <w:basedOn w:val="1"/>
    <w:qFormat/>
    <w:uiPriority w:val="0"/>
    <w:pPr>
      <w:spacing w:line="320" w:lineRule="atLeast"/>
    </w:pPr>
    <w:rPr>
      <w:rFonts w:ascii="Times New Roman" w:hAnsi="Times New Roman"/>
      <w:szCs w:val="24"/>
    </w:rPr>
  </w:style>
  <w:style w:type="paragraph" w:customStyle="1" w:styleId="30">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 w:type="paragraph" w:customStyle="1" w:styleId="31">
    <w:name w:val="_Style 30"/>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18743</Words>
  <Characters>19383</Characters>
  <Lines>157</Lines>
  <Paragraphs>44</Paragraphs>
  <TotalTime>229</TotalTime>
  <ScaleCrop>false</ScaleCrop>
  <LinksUpToDate>false</LinksUpToDate>
  <CharactersWithSpaces>20191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2021-03-10T01:01:00Z</dcterms:created>
  <dc:creator>HP</dc:creator>
  <cp:lastModifiedBy>ibm</cp:lastModifiedBy>
  <cp:lastPrinted>2019-03-29T02:05:00Z</cp:lastPrinted>
  <dcterms:modified xsi:type="dcterms:W3CDTF">2022-06-28T09:15:18Z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B04AEA7DA9F24AB7A59C5BF70428955E</vt:lpwstr>
  </property>
</Properties>
</file>